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tbl>
      <w:tblPr>
        <w:tblStyle w:val="TableNormal"/>
        <w:tblW w:w="0" w:type="auto"/>
        <w:tblInd w:w="0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2120"/>
        <w:gridCol w:w="2120"/>
        <w:gridCol w:w="2203"/>
        <w:gridCol w:w="2203"/>
      </w:tblGrid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黑体" w:eastAsia="黑体" w:hAnsi="黑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黑体" w:eastAsia="黑体" w:hAnsi="黑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表七</w:t>
            </w: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</w:pP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201</w:t>
            </w: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4</w:t>
            </w: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年政府性基金预算收支明细表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黑体" w:eastAsia="黑体" w:hAnsi="黑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单位：万元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8"/>
                <w:u w:val="none"/>
                <w:lang w:eastAsia="zh-CN"/>
              </w:rPr>
              <w:t xml:space="preserve">收入</w:t>
            </w:r>
          </w:p>
        </w:tc>
        <w:tc>
          <w:tcP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8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8"/>
                <w:u w:val="none"/>
                <w:lang w:eastAsia="zh-CN"/>
              </w:rPr>
              <w:t xml:space="preserve">支出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项目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预算数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项目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预算数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一、农网还贷资金收入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一、教育支出</w:t>
            </w:r>
          </w:p>
        </w:tc>
        <w:tc>
          <w:tcPr>
            <w:tcBorders>
              <w:top w:val="none" w:sz="0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232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二、山西省煤炭可持续发展基金收入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地方教育附加安排的支出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232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三、海南省高等级公路车辆通行附加费收入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农村中小学校舍建设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四、转让政府还贷道路收费权收入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农村中小学教学设施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转让政府还贷公路收费权收入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城市中小学校舍建设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转让政府还贷城市道路收费权收入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城市中小学教学设施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五、港口建设费收入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中等职业学校教学设施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六、散装水泥专项资金收入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其他地方教育附加安排的支出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232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七、新型墙体材料专项基金收入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二、文化体育与传媒支出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八、旅游发展基金收入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文化事业建设费安排的支出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九、文化事业建设费收入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精神文明建设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十、地方教育附加收入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232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人才培训教学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十一、新菜地开发建设基金收入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文化创作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十二、新增建设用地土地有偿使用费收入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文化事业单位补助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十三、育林基金收入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爱国主义教育基地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十四、森林植被恢复费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其他文化事业建设费安排的支出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十五、地方水利建设基金收入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国家电影事业发展专项资金支出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地方水利建设基金划转收入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资助国产影片放映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地方其他水利建设基金收入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资助城市影院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十六、南水北调工程建设基金收入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资助少数民族电影译制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十七、残疾人就业保障金收入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其他国家电影事业发展专项资金支出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十八、政府住房基金收入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三、社会保障和就业支出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13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上缴管理费用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大中型水库移民后期扶持基金支出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计提廉租住房资金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移民补助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廉租住房租金收入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基础设施建设和经济发展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公共租赁住房租金收入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其他大中型水库移民后期扶持基金支出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配建商业设施租售收入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小型水库移民扶助基金支出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其他政府住房基金收入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移民补助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十九、城市公用事业附加收入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基础设施建设和经济发展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二十、国有土地收益基金收入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其他小型水库移民扶助基金支出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二十一、农业土地开发资金收入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残疾人就业保障金支出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13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二十二、国有土地使用权出让收入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就业和培训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土地出让价款收入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职业康复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补缴的土地价款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扶持农村残疾人生产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划拨土地收入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奖励残疾人就业单位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教育资金收入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其他残疾人就业保障金支出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13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农田水利建投资金收入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四、节能环保支出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缴纳新增建设用地土地有偿使用费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可再生能源电价附加收入安排的支出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其他土地出让收入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其他可再生能源电价附加收入安排的支出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二十三、大中型水库移民后期扶持基金收入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废弃电器电子产品处理基金支出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二十四、大中型水库库区基金收入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信息系统建设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二十五、彩票公益金收入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基金征管经费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福利彩票公益金收入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其他废弃电器电子产品处理基金支出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体育彩票公益金收入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五、城乡社区支出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450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二十六、城市基础设施配套费收入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政府住房基金支出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二十七、小型水库移民扶助基金收入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管理费用支出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二十八、国家重大水利工程建设基金收入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廉租住房支出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南水北调工程建投资金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廉租住房维护和管理支出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三峡工程后续工作资金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公共租赁住房支出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省级重大水利工程建投资金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公共租赁住房维护和管理支出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二十九、车辆通行费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其他政府住房基金支出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三十、船舶港务费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国有土地使用权出让收入安排的支出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450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三十一、无线电频率占用费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征地和拆迁补偿支出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450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三十二、其他政府性基金收入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土地开发支出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城市建设支出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农村基础设施建设支出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补助被征地农民支出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土地出让业务支出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廉租住房支出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教育资金安排的支出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支付破产或改制企业职工安置费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棚户区改造支出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公共租赁住房支出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single" w:sz="4" w:space="0" w:color="000000"/>
              <w:bottom w:val="none" w:sz="0" w:space="0" w:color="auto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农田水利建投资金安排的支出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其他国有土地使用权出让收入安排的支出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城市公用事业附加安排的支出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城市公共设施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城市环境卫生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公有房屋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城市防洪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其他城市公用事业附加安排的支出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国有土地收益基金支出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征地和拆迁补偿支出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土地开发支出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其他国有土地收益基金支出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农业土地开发资金支出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新增建设用地有偿使用费安排的支出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耕地开发专项支出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基本农田建设和保护支出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土地整理支出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用于地震灾后恢复重建的支出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城市基础设施配套费安排的支出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城市公共设施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城市环境卫生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公有房屋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城市防洪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其他城市基础设施配套费安排的支出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六、农林水支出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新菜地开发建设基金支出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开发新菜地工程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改造老菜地工程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设备购置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技术培训与推广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其他新菜地开发建设基金支出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育林基金支出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森林培育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林业有害生物防治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森林防火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森林资源监测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林业技术推广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林区公共支出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其他育林基金支出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森林植被恢复费安排的支出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林地调查规划设计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林地整理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森林培育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林业有害生物防治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森林防火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森林资源管护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其他森林植被恢复费安排的支出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中央水利建设基金支出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水利工程建设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水利工程维护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防洪工程含应急度汛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其他中央水利建设基金支出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地方水利建设基金支出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水利工程建设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水利工程维护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水土保持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城市防洪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其他地方水利建设基金支出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大中型水库库区基金支出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基础设施建设和经济发展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解决移民遗留问题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库区防护工程维护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其他大中型水库库区基金支出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三峡水库库区基金支出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基础设施建设和经济发展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解决移民遗留问题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库区维护和管理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其他三峡水库库区基金支出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南水北调工程基金支出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南水北调工程建设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偿还南水北调工程贷款本息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国家重大水利工程建设基金支出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南水北调工程建设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三峡工程后续工作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地方重大水利工程建设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其他重大水利工程建设基金支出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七、交通运输支出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公路水路运输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船舶港务费安排的支出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长江口航道维护支出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海南省高等级公路车辆通行附加费安排的支出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公路建设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公路养护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公路还贷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其他海南省高等级公路车辆通行附加费安排的支出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转让政府还贷道路收费权收入安排的支出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公路还贷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公路建设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其他转让政府还贷道路收费权收入安排的支出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车辆通行费安排的支出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公路还贷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政府还贷公路养护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政府还贷公路管理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其他车辆通行费安排的支出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港口建设费安排的支出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港口设施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航道建设和维护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航运保障系统建设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其他港口建设费安排的支出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铁路建设基金支出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铁路建设投资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购置铁路机车车辆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铁路还贷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建设项目铺底资金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勘测设计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注册资本金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周转资金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其他铁路建设基金支出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船舶油污损害赔偿基金支出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应急处置费用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控制清除污染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损失补偿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生态恢复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监视监测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其他船舶油污损害赔偿基金支出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民航发展基金支出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民航机场建设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空管系统建设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民航安全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航线和机场补贴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民航科教和信息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民航节能减排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通用航空发展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征管经费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其他民航发展基金支出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八、资源勘探电力信息等支出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工业和信息产业监管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无线电频率占用费安排的支出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散装水泥专项资金支出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建设专用设施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专用设备购置和维修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贷款贴息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技术研发与推广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宣传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其他散装水泥专项资金支出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新型墙体材料专项基金支出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技改贴息和补助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技术研发和推广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示范项目补贴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宣传和培训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其他新型墙体材料专项基金支出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农网还贷资金支出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地方农网还贷资金支出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其他农网还贷资金支出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山西省煤炭可持续发展基金支出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生态环境治理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资源地区转型和接替产业发展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解决社会问题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其他山西省煤炭可持续发展基金支出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电力改革预留资产变现收入安排的支出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九、商业服务业等支出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旅游发展基金支出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宣传促销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行业规划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旅游事业补助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地方旅游开发项目补助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其他旅游发展基金支出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十、其他支出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其他政府性基金支出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彩票公益金安排的支出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用于社会福利的彩票公益金支出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用于体育事业的彩票公益金支出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用于教育事业的彩票公益金支出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用于红十字事业的彩票公益金支出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用于残疾人事业的彩票公益金支出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用于城市医疗救助的彩票公益金支出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用于农村医疗救助的彩票公益金支出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用于文化事业的彩票公益金支出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用于扶贫的彩票公益金支出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用于法律援助的彩票公益金支出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用于其他社会公益事业的彩票公益金支出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收入合计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695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支出合计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695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转移性收入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转移性支出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政府性基金转移收入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政府性基金转移支付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0</w:t>
            </w: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政府性基金补助收入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政府性基金补助支出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政府性基金上解收入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　政府性基金上解支出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地震灾后恢复重建补助收入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上年结余收入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调出资金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调入资金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年终结余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W w:w="0" w:type="auto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收入总计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695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支出总计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695</w:t>
            </w:r>
          </w:p>
        </w:tc>
      </w:tr>
    </w:tbl>
    <w:p>
      <w:pPr/>
    </w:p>
    <w:sectPr>
      <w:pgSz w:w="11906" w:h="16838" w:orient="portrait"/>
      <w:pgMar w:top="1440" w:right="1800" w:bottom="1440" w:left="1800" w:header="851" w:footer="992" w:gutter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Auto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Auto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/>
  <w:bordersDoNotSurroundHeader/>
  <w:attachedTemplate r:id="rId1"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wrapTrailSpaces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lang w:val="en-US" w:eastAsia="zh-CN"/>
    </w:rPr>
  </w:style>
  <w:style w:type="character" w:styleId="DefaultParagraphFont">
    <w:name w:val="默认段落字体"/>
    <w:rPr/>
  </w:style>
  <w:style w:type="paragraph" w:styleId="Header">
    <w:name w:val="页眉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页脚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default="1" w:styleId="TableNormal">
    <w:name w:val="Normal Table"/>
    <w:uiPriority w:val="99"/>
    <w:semiHidden/>
    <w:unhideWhenUsed/>
    <w:qFormat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customXml" Target="../customXml/item1.xml" /><Relationship Id="rId2" Type="http://schemas.openxmlformats.org/officeDocument/2006/relationships/customXml" Target="../customXml/item2.xml" /><Relationship Id="rId3" Type="http://schemas.openxmlformats.org/officeDocument/2006/relationships/theme" Target="theme/theme1.xml" /><Relationship Id="rId4" Type="http://schemas.openxmlformats.org/officeDocument/2006/relationships/styles" Target="styles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fontTable" Target="fontTable.xml" /><Relationship Id="rId8" Type="http://schemas.openxmlformats.org/officeDocument/2006/relationships/settings" Target="settings.xml" /></Relationships>
</file>

<file path=word/_rels/settings.xml.rels>&#65279;<?xml version="1.0" encoding="utf-8"?><Relationships xmlns="http://schemas.openxmlformats.org/package/2006/relationships"><Relationship Id="rId1" Type="http://schemas.openxmlformats.org/officeDocument/2006/relationships/attachedTemplate" Target="Normal.wp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

<file path=customXml/item2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Normal.wpt</Template>
  <Pages>1</Pages>
  <Words>0</Words>
  <Characters>0</Characters>
  <Application>Spire.Doc</Application>
  <DocSecurity>0</DocSecurity>
  <Lines>0</Lines>
  <Paragraphs>0</Paragraphs>
  <CharactersWithSpaces>0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表七</dc:title>
  <dc:creator>卡鲁里</dc:creator>
  <cp:revision>1</cp:revision>
  <dcterms:created xsi:type="dcterms:W3CDTF">2014-05-08T00:32:13Z</dcterms:created>
  <dcterms:modified xsi:type="dcterms:W3CDTF">2014-05-08T00:32:27Z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