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719"/>
        <w:gridCol w:w="971"/>
        <w:gridCol w:w="559"/>
        <w:gridCol w:w="559"/>
        <w:gridCol w:w="559"/>
        <w:gridCol w:w="559"/>
        <w:gridCol w:w="2719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表八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年政府性基金预算支出资金来源情况表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righ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单位：万元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合计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当年预算收入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政府性基金补助收入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上年结余结转</w:t>
            </w:r>
          </w:p>
        </w:tc>
        <w:tc>
          <w:tcPr>
            <w:vMerge w:val="restart"/>
            <w:tcBorders>
              <w:top w:val="single" w:sz="4" w:space="0" w:color="000000"/>
              <w:left w:val="none" w:sz="0" w:space="0" w:color="auto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调入资金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其他资金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none" w:sz="0" w:space="0" w:color="auto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一、教育支出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地方教育附加安排的支出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文化事业建设费安排的支出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国家电影事业发展专项资金支出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大中型水库移民后期扶持基金支出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小型水库移民扶助基金支出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残疾人就业保障金支出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可再生能源电价附加收入安排的支出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废弃电器电子产品处理基金支出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五、城乡社区事务支出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政府住房基金支出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国有土地使用权出让收入安排的支出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城市公用事业附加安排的支出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国有土地收益基金支出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农业土地开发资金支出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新增建设用地有偿使用费安排的支出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城市基础设施配套费安排的支出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六、农林水支出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新菜地开发建设基金支出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育林基金支出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森林植被恢复费安排的支出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中央水利建设基金支出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三峡水库库区基金支出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国家重大水利工程建设基金支出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公路水路运输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海南省高等级公路车辆通行附加费安排的支出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转让政府还贷道路收费权收入安排的支出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车辆通行费安排的支出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港口建设费安排的支出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船舶油污损害赔偿基金支出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八、资源勘探电力信息等支出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工业和信息产业监管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散装水泥专项资金支出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新型墙体材料专项基金支出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农网还贷资金支出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山西省煤炭可持续发展基金支出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电力改革预留资产变现收入安排的支出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九、商业服务业等支出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旅游发展基金支出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其他政府性基金支出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彩票公益金安排的支出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表八</dc:title>
  <dc:creator>卡鲁里</dc:creator>
  <cp:revision>1</cp:revision>
  <dcterms:created xsi:type="dcterms:W3CDTF">2014-05-08T00:33:08Z</dcterms:created>
  <dcterms:modified xsi:type="dcterms:W3CDTF">2014-05-08T00:33:18Z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