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sz w:val="30"/>
          <w:szCs w:val="30"/>
        </w:rPr>
      </w:pPr>
      <w:r>
        <w:rPr>
          <w:rFonts w:hint="eastAsia" w:ascii="仿宋_GB2312" w:eastAsia="仿宋_GB2312"/>
          <w:sz w:val="30"/>
          <w:szCs w:val="30"/>
        </w:rPr>
        <w:t>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hint="eastAsia" w:ascii="仿宋_GB2312" w:eastAsia="仿宋_GB2312"/>
          <w:b/>
          <w:sz w:val="120"/>
          <w:szCs w:val="120"/>
        </w:rPr>
        <w:t>2015年度</w:t>
      </w: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84"/>
          <w:szCs w:val="84"/>
        </w:rPr>
      </w:pPr>
      <w:r>
        <w:rPr>
          <w:rFonts w:hint="eastAsia" w:ascii="仿宋_GB2312" w:eastAsia="仿宋_GB2312"/>
          <w:b/>
          <w:sz w:val="84"/>
          <w:szCs w:val="84"/>
          <w:lang w:eastAsia="zh-CN"/>
        </w:rPr>
        <w:t>水利工作站</w:t>
      </w:r>
      <w:r>
        <w:rPr>
          <w:rFonts w:hint="eastAsia" w:ascii="仿宋_GB2312" w:eastAsia="仿宋_GB2312"/>
          <w:b/>
          <w:sz w:val="84"/>
          <w:szCs w:val="84"/>
        </w:rPr>
        <w:t>部门决算</w:t>
      </w:r>
    </w:p>
    <w:p>
      <w:pPr>
        <w:jc w:val="center"/>
        <w:rPr>
          <w:rFonts w:ascii="仿宋_GB2312" w:eastAsia="仿宋_GB2312"/>
          <w:b/>
          <w:sz w:val="44"/>
          <w:szCs w:val="44"/>
        </w:rPr>
      </w:pPr>
    </w:p>
    <w:p/>
    <w:p/>
    <w:p/>
    <w:p/>
    <w:p/>
    <w:p/>
    <w:p>
      <w:pPr>
        <w:jc w:val="center"/>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水利工作站单位</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水利工作站</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水利工作站</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hint="eastAsia" w:ascii="仿宋_GB2312" w:eastAsia="仿宋_GB2312"/>
          <w:b/>
          <w:sz w:val="32"/>
          <w:szCs w:val="32"/>
        </w:rPr>
        <w:t>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水利工作站</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numPr>
          <w:ilvl w:val="0"/>
          <w:numId w:val="1"/>
        </w:numPr>
        <w:ind w:firstLine="639" w:firstLineChars="199"/>
        <w:rPr>
          <w:rFonts w:hint="eastAsia" w:ascii="仿宋_GB2312" w:eastAsia="仿宋_GB2312"/>
          <w:sz w:val="32"/>
          <w:szCs w:val="32"/>
        </w:rPr>
      </w:pPr>
      <w:r>
        <w:rPr>
          <w:rFonts w:hint="eastAsia" w:ascii="仿宋_GB2312" w:eastAsia="仿宋_GB2312"/>
          <w:b/>
          <w:sz w:val="32"/>
          <w:szCs w:val="32"/>
        </w:rPr>
        <w:t>主要职能</w:t>
      </w:r>
      <w:r>
        <w:rPr>
          <w:rFonts w:hint="eastAsia" w:ascii="仿宋_GB2312" w:eastAsia="仿宋_GB2312"/>
          <w:sz w:val="32"/>
          <w:szCs w:val="32"/>
        </w:rPr>
        <w:t>（为机构改革后“三定方案”确定的职能）</w:t>
      </w:r>
    </w:p>
    <w:p>
      <w:pPr>
        <w:ind w:firstLine="660"/>
        <w:rPr>
          <w:rFonts w:hint="eastAsia" w:ascii="宋体" w:hAnsi="宋体"/>
          <w:sz w:val="32"/>
          <w:szCs w:val="32"/>
        </w:rPr>
      </w:pPr>
      <w:r>
        <w:rPr>
          <w:rFonts w:hint="eastAsia" w:ascii="宋体" w:hAnsi="宋体"/>
          <w:sz w:val="32"/>
          <w:szCs w:val="32"/>
        </w:rPr>
        <w:t>为农村牧区水利建设提供及时支持和保障，农牧区水利工程建设与管理，新技术的示范与推广。</w:t>
      </w:r>
    </w:p>
    <w:p>
      <w:pPr>
        <w:ind w:firstLine="660"/>
        <w:rPr>
          <w:rFonts w:hint="eastAsia" w:ascii="宋体" w:hAnsi="宋体"/>
          <w:sz w:val="32"/>
          <w:szCs w:val="32"/>
        </w:rPr>
      </w:pPr>
      <w:r>
        <w:rPr>
          <w:rFonts w:hint="eastAsia" w:ascii="宋体" w:hAnsi="宋体"/>
          <w:sz w:val="32"/>
          <w:szCs w:val="32"/>
        </w:rPr>
        <w:t>水政水资源管理办公室职责：水行政执法和水政监察，实施取水许可制度，水资源费征收制度，发布全县水资源公告，协调仲裁部门间，乡镇间的水事纠纷，负责全县河道管理。</w:t>
      </w:r>
    </w:p>
    <w:p>
      <w:pPr>
        <w:ind w:firstLine="660"/>
        <w:rPr>
          <w:rFonts w:hint="eastAsia" w:ascii="宋体" w:hAnsi="宋体"/>
          <w:sz w:val="32"/>
          <w:szCs w:val="32"/>
        </w:rPr>
      </w:pPr>
      <w:r>
        <w:rPr>
          <w:rFonts w:hint="eastAsia" w:ascii="宋体" w:hAnsi="宋体"/>
          <w:sz w:val="32"/>
          <w:szCs w:val="32"/>
        </w:rPr>
        <w:t>水土保持预防监督站职责，研究制定水土保持的工程措施规划，组织水土流失的监测和综合预防。</w:t>
      </w:r>
    </w:p>
    <w:p>
      <w:pPr>
        <w:widowControl/>
        <w:shd w:val="clear" w:color="auto" w:fill="FFFFFF"/>
        <w:ind w:firstLine="640" w:firstLineChars="200"/>
        <w:jc w:val="left"/>
        <w:rPr>
          <w:rFonts w:ascii="宋体" w:hAnsi="宋体"/>
          <w:sz w:val="32"/>
          <w:szCs w:val="32"/>
        </w:rPr>
      </w:pPr>
      <w:r>
        <w:rPr>
          <w:rFonts w:hint="eastAsia" w:ascii="宋体" w:hAnsi="宋体"/>
          <w:sz w:val="32"/>
          <w:szCs w:val="32"/>
        </w:rPr>
        <w:t>防汛抗旱办公室职责：承担县防汛指挥部的日常工作，负责全县防洪、抗旱工作。</w:t>
      </w:r>
      <w:r>
        <w:rPr>
          <w:rFonts w:ascii="宋体" w:hAnsi="宋体"/>
          <w:sz w:val="32"/>
          <w:szCs w:val="32"/>
        </w:rPr>
        <w:t>参与全</w:t>
      </w:r>
      <w:r>
        <w:rPr>
          <w:rFonts w:hint="eastAsia" w:ascii="宋体" w:hAnsi="宋体"/>
          <w:sz w:val="32"/>
          <w:szCs w:val="32"/>
        </w:rPr>
        <w:t>县</w:t>
      </w:r>
      <w:r>
        <w:rPr>
          <w:rFonts w:ascii="宋体" w:hAnsi="宋体"/>
          <w:sz w:val="32"/>
          <w:szCs w:val="32"/>
        </w:rPr>
        <w:t>河</w:t>
      </w:r>
      <w:r>
        <w:rPr>
          <w:rFonts w:hint="eastAsia" w:ascii="宋体" w:hAnsi="宋体"/>
          <w:sz w:val="32"/>
          <w:szCs w:val="32"/>
        </w:rPr>
        <w:t>道</w:t>
      </w:r>
      <w:r>
        <w:rPr>
          <w:rFonts w:ascii="宋体" w:hAnsi="宋体"/>
          <w:sz w:val="32"/>
          <w:szCs w:val="32"/>
        </w:rPr>
        <w:t>水域的管理和保护工作</w:t>
      </w:r>
      <w:r>
        <w:rPr>
          <w:rFonts w:hint="eastAsia" w:ascii="宋体" w:hAnsi="宋体"/>
          <w:sz w:val="32"/>
          <w:szCs w:val="32"/>
        </w:rPr>
        <w:t>，</w:t>
      </w:r>
      <w:r>
        <w:rPr>
          <w:rFonts w:ascii="宋体" w:hAnsi="宋体"/>
          <w:sz w:val="32"/>
          <w:szCs w:val="32"/>
        </w:rPr>
        <w:t>防汛抗旱</w:t>
      </w:r>
      <w:r>
        <w:rPr>
          <w:rFonts w:ascii="宋体" w:hAnsi="宋体"/>
          <w:sz w:val="32"/>
          <w:szCs w:val="32"/>
        </w:rPr>
        <w:fldChar w:fldCharType="begin"/>
      </w:r>
      <w:r>
        <w:rPr>
          <w:rFonts w:ascii="宋体" w:hAnsi="宋体"/>
          <w:sz w:val="32"/>
          <w:szCs w:val="32"/>
        </w:rPr>
        <w:instrText xml:space="preserve"> HYPERLINK "http://baike.baidu.com/view/355727.htm" \t "_blank" </w:instrText>
      </w:r>
      <w:r>
        <w:rPr>
          <w:rFonts w:ascii="宋体" w:hAnsi="宋体"/>
          <w:sz w:val="32"/>
          <w:szCs w:val="32"/>
        </w:rPr>
        <w:fldChar w:fldCharType="separate"/>
      </w:r>
      <w:r>
        <w:rPr>
          <w:rFonts w:ascii="宋体" w:hAnsi="宋体"/>
          <w:sz w:val="32"/>
          <w:szCs w:val="32"/>
        </w:rPr>
        <w:t>物资</w:t>
      </w:r>
      <w:r>
        <w:rPr>
          <w:rFonts w:ascii="宋体" w:hAnsi="宋体"/>
          <w:sz w:val="32"/>
          <w:szCs w:val="32"/>
        </w:rPr>
        <w:fldChar w:fldCharType="end"/>
      </w:r>
      <w:r>
        <w:rPr>
          <w:rFonts w:ascii="宋体" w:hAnsi="宋体"/>
          <w:sz w:val="32"/>
          <w:szCs w:val="32"/>
        </w:rPr>
        <w:t>的</w:t>
      </w:r>
      <w:r>
        <w:rPr>
          <w:rFonts w:ascii="宋体" w:hAnsi="宋体"/>
          <w:sz w:val="32"/>
          <w:szCs w:val="32"/>
        </w:rPr>
        <w:fldChar w:fldCharType="begin"/>
      </w:r>
      <w:r>
        <w:rPr>
          <w:rFonts w:ascii="宋体" w:hAnsi="宋体"/>
          <w:sz w:val="32"/>
          <w:szCs w:val="32"/>
        </w:rPr>
        <w:instrText xml:space="preserve"> HYPERLINK "http://baike.baidu.com/view/1608143.htm" \t "_blank" </w:instrText>
      </w:r>
      <w:r>
        <w:rPr>
          <w:rFonts w:ascii="宋体" w:hAnsi="宋体"/>
          <w:sz w:val="32"/>
          <w:szCs w:val="32"/>
        </w:rPr>
        <w:fldChar w:fldCharType="separate"/>
      </w:r>
      <w:r>
        <w:rPr>
          <w:rFonts w:ascii="宋体" w:hAnsi="宋体"/>
          <w:sz w:val="32"/>
          <w:szCs w:val="32"/>
        </w:rPr>
        <w:t>储备</w:t>
      </w:r>
      <w:r>
        <w:rPr>
          <w:rFonts w:ascii="宋体" w:hAnsi="宋体"/>
          <w:sz w:val="32"/>
          <w:szCs w:val="32"/>
        </w:rPr>
        <w:fldChar w:fldCharType="end"/>
      </w:r>
      <w:r>
        <w:rPr>
          <w:rFonts w:hint="eastAsia" w:ascii="宋体" w:hAnsi="宋体"/>
          <w:sz w:val="32"/>
          <w:szCs w:val="32"/>
        </w:rPr>
        <w:t>，</w:t>
      </w:r>
      <w:r>
        <w:rPr>
          <w:rFonts w:ascii="宋体" w:hAnsi="宋体"/>
          <w:sz w:val="32"/>
          <w:szCs w:val="32"/>
        </w:rPr>
        <w:t>负责水旱灾害的统计、核查和信息发布；组织落实防汛抗旱物资队伍、应急资金的征调工作，组织协调</w:t>
      </w:r>
      <w:r>
        <w:rPr>
          <w:rFonts w:hint="eastAsia" w:ascii="宋体" w:hAnsi="宋体"/>
          <w:sz w:val="32"/>
          <w:szCs w:val="32"/>
        </w:rPr>
        <w:t>，</w:t>
      </w:r>
      <w:r>
        <w:rPr>
          <w:rFonts w:ascii="宋体" w:hAnsi="宋体"/>
          <w:sz w:val="32"/>
          <w:szCs w:val="32"/>
        </w:rPr>
        <w:t>全体成员是防汛机动抢险队员及防汛抗旱值班员。</w:t>
      </w:r>
    </w:p>
    <w:p>
      <w:pPr>
        <w:ind w:firstLine="660"/>
        <w:rPr>
          <w:rFonts w:hint="eastAsia" w:ascii="宋体" w:hAnsi="宋体"/>
          <w:sz w:val="32"/>
          <w:szCs w:val="32"/>
        </w:rPr>
      </w:pPr>
      <w:r>
        <w:rPr>
          <w:rFonts w:hint="eastAsia" w:ascii="宋体" w:hAnsi="宋体"/>
          <w:sz w:val="32"/>
          <w:szCs w:val="32"/>
        </w:rPr>
        <w:t>指导各乡镇农牧区水利工作，组织实施农田，草原，人畜饮水，水利基本建设和乡镇供水工作，管理水费征收工作。</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2014年度决算编制范围包括各级预算单位</w:t>
      </w:r>
      <w:r>
        <w:rPr>
          <w:rFonts w:hint="eastAsia" w:ascii="仿宋_GB2312" w:eastAsia="仿宋_GB2312"/>
          <w:sz w:val="32"/>
          <w:szCs w:val="32"/>
          <w:lang w:val="en-US" w:eastAsia="zh-CN"/>
        </w:rPr>
        <w:t>1</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12</w:t>
      </w:r>
      <w:r>
        <w:rPr>
          <w:rFonts w:hint="eastAsia" w:ascii="仿宋_GB2312" w:eastAsia="仿宋_GB2312"/>
          <w:sz w:val="32"/>
          <w:szCs w:val="32"/>
        </w:rPr>
        <w:t>人，其中在职人员</w:t>
      </w:r>
      <w:r>
        <w:rPr>
          <w:rFonts w:hint="eastAsia" w:ascii="仿宋_GB2312" w:eastAsia="仿宋_GB2312"/>
          <w:sz w:val="32"/>
          <w:szCs w:val="32"/>
          <w:lang w:val="en-US" w:eastAsia="zh-CN"/>
        </w:rPr>
        <w:t>12</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sz w:val="32"/>
          <w:szCs w:val="32"/>
          <w:lang w:eastAsia="zh-CN"/>
        </w:rPr>
        <w:t>刚察县水利工作站</w:t>
      </w:r>
      <w:r>
        <w:rPr>
          <w:rFonts w:hint="eastAsia" w:ascii="仿宋_GB2312" w:eastAsia="仿宋_GB2312"/>
          <w:sz w:val="32"/>
          <w:szCs w:val="32"/>
        </w:rPr>
        <w:t>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top"/>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vAlign w:val="top"/>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top"/>
          </w:tcPr>
          <w:p>
            <w:pPr>
              <w:rPr>
                <w:rFonts w:ascii="仿宋_GB2312" w:eastAsia="仿宋_GB2312"/>
                <w:sz w:val="32"/>
                <w:szCs w:val="32"/>
              </w:rPr>
            </w:pPr>
            <w:r>
              <w:rPr>
                <w:rFonts w:hint="eastAsia" w:ascii="仿宋_GB2312" w:eastAsia="仿宋_GB2312"/>
                <w:sz w:val="32"/>
                <w:szCs w:val="32"/>
              </w:rPr>
              <w:t>1</w:t>
            </w:r>
          </w:p>
        </w:tc>
        <w:tc>
          <w:tcPr>
            <w:tcW w:w="6328" w:type="dxa"/>
            <w:vAlign w:val="top"/>
          </w:tcPr>
          <w:p>
            <w:pPr>
              <w:rPr>
                <w:rFonts w:hint="eastAsia" w:ascii="仿宋_GB2312" w:eastAsia="仿宋_GB2312"/>
                <w:sz w:val="32"/>
                <w:szCs w:val="32"/>
                <w:lang w:eastAsia="zh-CN"/>
              </w:rPr>
            </w:pPr>
            <w:r>
              <w:rPr>
                <w:rFonts w:hint="eastAsia" w:ascii="仿宋_GB2312" w:eastAsia="仿宋_GB2312"/>
                <w:sz w:val="32"/>
                <w:szCs w:val="32"/>
                <w:lang w:eastAsia="zh-CN"/>
              </w:rPr>
              <w:t>刚察县水利工作站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top"/>
          </w:tcPr>
          <w:p>
            <w:pPr>
              <w:rPr>
                <w:rFonts w:ascii="仿宋_GB2312" w:eastAsia="仿宋_GB2312"/>
                <w:sz w:val="32"/>
                <w:szCs w:val="32"/>
              </w:rPr>
            </w:pPr>
          </w:p>
        </w:tc>
        <w:tc>
          <w:tcPr>
            <w:tcW w:w="6328"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top"/>
          </w:tcPr>
          <w:p>
            <w:pPr>
              <w:rPr>
                <w:rFonts w:ascii="仿宋_GB2312" w:eastAsia="仿宋_GB2312"/>
                <w:sz w:val="32"/>
                <w:szCs w:val="32"/>
              </w:rPr>
            </w:pPr>
          </w:p>
        </w:tc>
        <w:tc>
          <w:tcPr>
            <w:tcW w:w="6328"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0" w:type="dxa"/>
            <w:vAlign w:val="top"/>
          </w:tcPr>
          <w:p>
            <w:pPr>
              <w:rPr>
                <w:rFonts w:ascii="仿宋_GB2312" w:eastAsia="仿宋_GB2312"/>
                <w:sz w:val="32"/>
                <w:szCs w:val="32"/>
              </w:rPr>
            </w:pPr>
          </w:p>
        </w:tc>
        <w:tc>
          <w:tcPr>
            <w:tcW w:w="6328" w:type="dxa"/>
            <w:vAlign w:val="top"/>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第二部分  XXX2015年度部门决算表</w:t>
      </w:r>
    </w:p>
    <w:tbl>
      <w:tblPr>
        <w:tblStyle w:val="7"/>
        <w:tblW w:w="1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vAlign w:val="center"/>
          </w:tcPr>
          <w:tbl>
            <w:tblPr>
              <w:tblStyle w:val="7"/>
              <w:tblW w:w="9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5"/>
              <w:gridCol w:w="456"/>
              <w:gridCol w:w="665"/>
              <w:gridCol w:w="2750"/>
              <w:gridCol w:w="456"/>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201" w:type="dxa"/>
                  <w:gridSpan w:val="6"/>
                  <w:tcBorders>
                    <w:top w:val="nil"/>
                    <w:left w:val="nil"/>
                    <w:bottom w:val="nil"/>
                    <w:right w:val="nil"/>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96"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665"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75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tcBorders>
                    <w:top w:val="nil"/>
                    <w:left w:val="nil"/>
                    <w:bottom w:val="single" w:color="000000" w:sz="8"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172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99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vAlign w:val="bottom"/>
          </w:tcPr>
          <w:p>
            <w:pPr>
              <w:widowControl/>
              <w:jc w:val="center"/>
              <w:rPr>
                <w:rFonts w:hint="eastAsia"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第三部</w:t>
      </w:r>
      <w:r>
        <w:rPr>
          <w:rFonts w:hint="eastAsia" w:ascii="仿宋_GB2312" w:eastAsia="仿宋_GB2312"/>
          <w:b/>
          <w:sz w:val="32"/>
          <w:szCs w:val="32"/>
          <w:lang w:val="en-US" w:eastAsia="zh-CN"/>
        </w:rPr>
        <w:t xml:space="preserve">  水利工作站</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水利工作站</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sz w:val="32"/>
          <w:szCs w:val="32"/>
          <w:lang w:eastAsia="zh-CN"/>
        </w:rPr>
        <w:t>水利工作站</w:t>
      </w:r>
      <w:r>
        <w:rPr>
          <w:rFonts w:hint="eastAsia" w:ascii="仿宋_GB2312" w:eastAsia="仿宋_GB2312"/>
          <w:sz w:val="32"/>
          <w:szCs w:val="32"/>
        </w:rPr>
        <w:t>2015年度收支总决算</w:t>
      </w:r>
      <w:r>
        <w:rPr>
          <w:rFonts w:hint="eastAsia" w:ascii="仿宋_GB2312" w:eastAsia="仿宋_GB2312"/>
          <w:sz w:val="32"/>
          <w:szCs w:val="32"/>
          <w:lang w:val="en-US" w:eastAsia="zh-CN"/>
        </w:rPr>
        <w:t>178.2</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2014年</w:t>
      </w:r>
      <w:r>
        <w:rPr>
          <w:rFonts w:hint="eastAsia" w:ascii="仿宋_GB2312" w:eastAsia="仿宋_GB2312"/>
          <w:sz w:val="32"/>
          <w:szCs w:val="32"/>
          <w:lang w:eastAsia="zh-CN"/>
        </w:rPr>
        <w:t>相比增加</w:t>
      </w:r>
      <w:r>
        <w:rPr>
          <w:rFonts w:hint="eastAsia" w:ascii="仿宋_GB2312" w:eastAsia="仿宋_GB2312"/>
          <w:sz w:val="32"/>
          <w:szCs w:val="32"/>
          <w:lang w:val="en-US" w:eastAsia="zh-CN"/>
        </w:rPr>
        <w:t>25万元。主要原因是人员工资增加。</w:t>
      </w:r>
      <w:bookmarkStart w:id="0" w:name="_GoBack"/>
      <w:bookmarkEnd w:id="0"/>
      <w:r>
        <w:rPr>
          <w:rFonts w:hint="eastAsia" w:ascii="仿宋_GB2312" w:eastAsia="仿宋_GB2312"/>
          <w:sz w:val="32"/>
          <w:szCs w:val="32"/>
          <w:lang w:val="en-US" w:eastAsia="zh-CN"/>
        </w:rPr>
        <w:t>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178.2</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0</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7、用事业基金弥补收支差额</w:t>
      </w:r>
      <w:r>
        <w:rPr>
          <w:rFonts w:hint="eastAsia" w:ascii="仿宋_GB2312" w:eastAsia="仿宋_GB2312"/>
          <w:sz w:val="32"/>
          <w:szCs w:val="32"/>
          <w:lang w:val="en-US" w:eastAsia="zh-CN"/>
        </w:rPr>
        <w:t>0</w:t>
      </w:r>
      <w:r>
        <w:rPr>
          <w:rFonts w:hint="eastAsia" w:ascii="仿宋_GB2312" w:eastAsia="仿宋_GB2312"/>
          <w:sz w:val="32"/>
          <w:szCs w:val="32"/>
        </w:rPr>
        <w:t>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hint="eastAsia" w:ascii="仿宋_GB2312" w:eastAsia="仿宋_GB2312"/>
          <w:sz w:val="32"/>
          <w:szCs w:val="32"/>
        </w:rPr>
        <w:t>8、上年结转和结余</w:t>
      </w:r>
      <w:r>
        <w:rPr>
          <w:rFonts w:hint="eastAsia" w:ascii="仿宋_GB2312" w:eastAsia="仿宋_GB2312"/>
          <w:sz w:val="32"/>
          <w:szCs w:val="32"/>
          <w:lang w:val="en-US" w:eastAsia="zh-CN"/>
        </w:rPr>
        <w:t>0</w:t>
      </w:r>
      <w:r>
        <w:rPr>
          <w:rFonts w:hint="eastAsia" w:ascii="仿宋_GB2312" w:eastAsia="仿宋_GB2312"/>
          <w:sz w:val="32"/>
          <w:szCs w:val="32"/>
        </w:rPr>
        <w:t>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178.2</w:t>
      </w:r>
      <w:r>
        <w:rPr>
          <w:rFonts w:hint="eastAsia" w:ascii="仿宋_GB2312" w:eastAsia="仿宋_GB2312"/>
          <w:sz w:val="32"/>
          <w:szCs w:val="32"/>
        </w:rPr>
        <w:t>万元。包括：</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社会保障和就业(类)支出</w:t>
      </w:r>
      <w:r>
        <w:rPr>
          <w:rFonts w:hint="eastAsia" w:ascii="仿宋_GB2312" w:eastAsia="仿宋_GB2312"/>
          <w:sz w:val="32"/>
          <w:szCs w:val="32"/>
          <w:lang w:val="en-US" w:eastAsia="zh-CN"/>
        </w:rPr>
        <w:t>0.4</w:t>
      </w:r>
      <w:r>
        <w:rPr>
          <w:rFonts w:hint="eastAsia" w:ascii="仿宋_GB2312" w:eastAsia="仿宋_GB2312"/>
          <w:sz w:val="32"/>
          <w:szCs w:val="32"/>
        </w:rPr>
        <w:t>万元，主要用于离退休人员经费和离退休干部管理机构为离退休人员提供管理和服务所发生的工作支出。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13.3</w:t>
      </w:r>
      <w:r>
        <w:rPr>
          <w:rFonts w:hint="eastAsia" w:ascii="仿宋_GB2312" w:eastAsia="仿宋_GB2312"/>
          <w:sz w:val="32"/>
          <w:szCs w:val="32"/>
        </w:rPr>
        <w:t>万元，主要用于医疗卫生、重大疾病预防控制及突发公共卫生事件处理等方面的支出。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农林水</w:t>
      </w:r>
      <w:r>
        <w:rPr>
          <w:rFonts w:hint="eastAsia" w:ascii="仿宋_GB2312" w:eastAsia="仿宋_GB2312"/>
          <w:sz w:val="32"/>
          <w:szCs w:val="32"/>
        </w:rPr>
        <w:t>(类)支出</w:t>
      </w:r>
      <w:r>
        <w:rPr>
          <w:rFonts w:hint="eastAsia" w:ascii="仿宋_GB2312" w:eastAsia="仿宋_GB2312"/>
          <w:sz w:val="32"/>
          <w:szCs w:val="32"/>
          <w:lang w:val="en-US" w:eastAsia="zh-CN"/>
        </w:rPr>
        <w:t>154.3</w:t>
      </w:r>
      <w:r>
        <w:rPr>
          <w:rFonts w:hint="eastAsia" w:ascii="仿宋_GB2312" w:eastAsia="仿宋_GB2312"/>
          <w:sz w:val="32"/>
          <w:szCs w:val="32"/>
        </w:rPr>
        <w:t>万元，主要用于能源节约利用等方面的支出。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、住房保障支出(类)支出</w:t>
      </w:r>
      <w:r>
        <w:rPr>
          <w:rFonts w:hint="eastAsia" w:ascii="仿宋_GB2312" w:eastAsia="仿宋_GB2312"/>
          <w:sz w:val="32"/>
          <w:szCs w:val="32"/>
          <w:lang w:val="en-US" w:eastAsia="zh-CN"/>
        </w:rPr>
        <w:t>10.1</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b/>
          <w:sz w:val="32"/>
          <w:szCs w:val="32"/>
          <w:lang w:eastAsia="zh-CN"/>
        </w:rPr>
        <w:t>水利工作站</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水利工作站</w:t>
      </w:r>
      <w:r>
        <w:rPr>
          <w:rFonts w:hint="eastAsia" w:ascii="仿宋_GB2312" w:eastAsia="仿宋_GB2312"/>
          <w:sz w:val="32"/>
          <w:szCs w:val="32"/>
        </w:rPr>
        <w:t>2015年度财政拨款支出</w:t>
      </w:r>
      <w:r>
        <w:rPr>
          <w:rFonts w:hint="eastAsia" w:ascii="仿宋_GB2312" w:eastAsia="仿宋_GB2312"/>
          <w:sz w:val="32"/>
          <w:szCs w:val="32"/>
          <w:lang w:val="en-US" w:eastAsia="zh-CN"/>
        </w:rPr>
        <w:t>178.2</w:t>
      </w:r>
      <w:r>
        <w:rPr>
          <w:rFonts w:hint="eastAsia" w:ascii="仿宋_GB2312" w:eastAsia="仿宋_GB2312"/>
          <w:sz w:val="32"/>
          <w:szCs w:val="32"/>
        </w:rPr>
        <w:t>万元，占本年支出总计的</w:t>
      </w:r>
      <w:r>
        <w:rPr>
          <w:rFonts w:hint="eastAsia" w:ascii="仿宋_GB2312" w:eastAsia="仿宋_GB2312"/>
          <w:sz w:val="32"/>
          <w:szCs w:val="32"/>
          <w:lang w:val="en-US" w:eastAsia="zh-CN"/>
        </w:rPr>
        <w:t>100</w:t>
      </w:r>
      <w:r>
        <w:rPr>
          <w:rFonts w:hint="eastAsia" w:ascii="仿宋_GB2312" w:eastAsia="仿宋_GB2312"/>
          <w:sz w:val="32"/>
          <w:szCs w:val="32"/>
        </w:rPr>
        <w:t>%。2015年决算数比2014年</w:t>
      </w:r>
      <w:r>
        <w:rPr>
          <w:rFonts w:hint="eastAsia" w:ascii="仿宋_GB2312" w:eastAsia="仿宋_GB2312"/>
          <w:sz w:val="32"/>
          <w:szCs w:val="32"/>
          <w:lang w:eastAsia="zh-CN"/>
        </w:rPr>
        <w:t>增加</w:t>
      </w:r>
      <w:r>
        <w:rPr>
          <w:rFonts w:hint="eastAsia" w:ascii="仿宋_GB2312" w:eastAsia="仿宋_GB2312"/>
          <w:sz w:val="32"/>
          <w:szCs w:val="32"/>
          <w:lang w:val="en-US" w:eastAsia="zh-CN"/>
        </w:rPr>
        <w:t>25万元</w:t>
      </w:r>
      <w:r>
        <w:rPr>
          <w:rFonts w:hint="eastAsia" w:ascii="仿宋_GB2312" w:eastAsia="仿宋_GB2312"/>
          <w:sz w:val="32"/>
          <w:szCs w:val="32"/>
          <w:lang w:eastAsia="zh-CN"/>
        </w:rPr>
        <w:t>。</w:t>
      </w:r>
    </w:p>
    <w:p>
      <w:pPr>
        <w:ind w:firstLine="640"/>
        <w:rPr>
          <w:rFonts w:hint="eastAsia" w:ascii="仿宋_GB2312" w:eastAsia="仿宋_GB2312"/>
          <w:sz w:val="32"/>
          <w:szCs w:val="32"/>
        </w:rPr>
      </w:pPr>
      <w:r>
        <w:rPr>
          <w:rFonts w:hint="eastAsia" w:ascii="仿宋_GB2312" w:eastAsia="仿宋_GB2312"/>
          <w:sz w:val="32"/>
          <w:szCs w:val="32"/>
        </w:rPr>
        <w:t>（二）财政拨款支出决算构成情况。2015年财政拨款用于以下方面：社会保障和就业(类)支出</w:t>
      </w:r>
      <w:r>
        <w:rPr>
          <w:rFonts w:hint="eastAsia" w:ascii="仿宋_GB2312" w:eastAsia="仿宋_GB2312"/>
          <w:sz w:val="32"/>
          <w:szCs w:val="32"/>
          <w:lang w:val="en-US" w:eastAsia="zh-CN"/>
        </w:rPr>
        <w:t>0.4</w:t>
      </w:r>
      <w:r>
        <w:rPr>
          <w:rFonts w:hint="eastAsia" w:ascii="仿宋_GB2312" w:eastAsia="仿宋_GB2312"/>
          <w:sz w:val="32"/>
          <w:szCs w:val="32"/>
        </w:rPr>
        <w:t>万元，占</w:t>
      </w:r>
      <w:r>
        <w:rPr>
          <w:rFonts w:hint="eastAsia" w:ascii="仿宋_GB2312" w:eastAsia="仿宋_GB2312"/>
          <w:sz w:val="32"/>
          <w:szCs w:val="32"/>
          <w:lang w:val="en-US" w:eastAsia="zh-CN"/>
        </w:rPr>
        <w:t>0.2</w:t>
      </w:r>
      <w:r>
        <w:rPr>
          <w:rFonts w:hint="eastAsia" w:ascii="仿宋_GB2312" w:eastAsia="仿宋_GB2312"/>
          <w:sz w:val="32"/>
          <w:szCs w:val="32"/>
        </w:rPr>
        <w:t>%；住房保障支出（类）支出</w:t>
      </w:r>
      <w:r>
        <w:rPr>
          <w:rFonts w:hint="eastAsia" w:ascii="仿宋_GB2312" w:eastAsia="仿宋_GB2312"/>
          <w:sz w:val="32"/>
          <w:szCs w:val="32"/>
          <w:lang w:val="en-US" w:eastAsia="zh-CN"/>
        </w:rPr>
        <w:t>10.1</w:t>
      </w:r>
      <w:r>
        <w:rPr>
          <w:rFonts w:hint="eastAsia" w:ascii="仿宋_GB2312" w:eastAsia="仿宋_GB2312"/>
          <w:sz w:val="32"/>
          <w:szCs w:val="32"/>
        </w:rPr>
        <w:t>万元，占</w:t>
      </w:r>
      <w:r>
        <w:rPr>
          <w:rFonts w:hint="eastAsia" w:ascii="仿宋_GB2312" w:eastAsia="仿宋_GB2312"/>
          <w:sz w:val="32"/>
          <w:szCs w:val="32"/>
          <w:lang w:val="en-US" w:eastAsia="zh-CN"/>
        </w:rPr>
        <w:t>5.7</w:t>
      </w:r>
      <w:r>
        <w:rPr>
          <w:rFonts w:hint="eastAsia" w:ascii="仿宋_GB2312" w:eastAsia="仿宋_GB2312"/>
          <w:sz w:val="32"/>
          <w:szCs w:val="32"/>
        </w:rPr>
        <w:t>%；医疗卫生（类）支出</w:t>
      </w:r>
      <w:r>
        <w:rPr>
          <w:rFonts w:hint="eastAsia" w:ascii="仿宋_GB2312" w:eastAsia="仿宋_GB2312"/>
          <w:sz w:val="32"/>
          <w:szCs w:val="32"/>
          <w:lang w:val="en-US" w:eastAsia="zh-CN"/>
        </w:rPr>
        <w:t>13.3</w:t>
      </w:r>
      <w:r>
        <w:rPr>
          <w:rFonts w:hint="eastAsia" w:ascii="仿宋_GB2312" w:eastAsia="仿宋_GB2312"/>
          <w:sz w:val="32"/>
          <w:szCs w:val="32"/>
        </w:rPr>
        <w:t>万元，占</w:t>
      </w:r>
      <w:r>
        <w:rPr>
          <w:rFonts w:hint="eastAsia" w:ascii="仿宋_GB2312" w:eastAsia="仿宋_GB2312"/>
          <w:sz w:val="32"/>
          <w:szCs w:val="32"/>
          <w:lang w:val="en-US" w:eastAsia="zh-CN"/>
        </w:rPr>
        <w:t>7.5</w:t>
      </w:r>
      <w:r>
        <w:rPr>
          <w:rFonts w:hint="eastAsia" w:ascii="仿宋_GB2312" w:eastAsia="仿宋_GB2312"/>
          <w:sz w:val="32"/>
          <w:szCs w:val="32"/>
        </w:rPr>
        <w:t>%；</w:t>
      </w:r>
      <w:r>
        <w:rPr>
          <w:rFonts w:hint="eastAsia" w:ascii="仿宋_GB2312" w:eastAsia="仿宋_GB2312"/>
          <w:sz w:val="32"/>
          <w:szCs w:val="32"/>
          <w:lang w:eastAsia="zh-CN"/>
        </w:rPr>
        <w:t>农林水</w:t>
      </w:r>
      <w:r>
        <w:rPr>
          <w:rFonts w:hint="eastAsia" w:ascii="仿宋_GB2312" w:eastAsia="仿宋_GB2312"/>
          <w:sz w:val="32"/>
          <w:szCs w:val="32"/>
        </w:rPr>
        <w:t>（类）支出</w:t>
      </w:r>
      <w:r>
        <w:rPr>
          <w:rFonts w:hint="eastAsia" w:ascii="仿宋_GB2312" w:eastAsia="仿宋_GB2312"/>
          <w:sz w:val="32"/>
          <w:szCs w:val="32"/>
          <w:lang w:val="en-US" w:eastAsia="zh-CN"/>
        </w:rPr>
        <w:t>154.3</w:t>
      </w:r>
      <w:r>
        <w:rPr>
          <w:rFonts w:hint="eastAsia" w:ascii="仿宋_GB2312" w:eastAsia="仿宋_GB2312"/>
          <w:sz w:val="32"/>
          <w:szCs w:val="32"/>
        </w:rPr>
        <w:t>万元，占</w:t>
      </w:r>
      <w:r>
        <w:rPr>
          <w:rFonts w:hint="eastAsia" w:ascii="仿宋_GB2312" w:eastAsia="仿宋_GB2312"/>
          <w:sz w:val="32"/>
          <w:szCs w:val="32"/>
          <w:lang w:val="en-US" w:eastAsia="zh-CN"/>
        </w:rPr>
        <w:t>86.6</w:t>
      </w:r>
      <w:r>
        <w:rPr>
          <w:rFonts w:hint="eastAsia" w:ascii="仿宋_GB2312" w:eastAsia="仿宋_GB2312"/>
          <w:sz w:val="32"/>
          <w:szCs w:val="32"/>
        </w:rPr>
        <w:t>%</w:t>
      </w:r>
      <w:r>
        <w:rPr>
          <w:rFonts w:hint="eastAsia" w:ascii="仿宋_GB2312" w:eastAsia="仿宋_GB2312"/>
          <w:sz w:val="32"/>
          <w:szCs w:val="32"/>
          <w:lang w:eastAsia="zh-CN"/>
        </w:rPr>
        <w:t>。</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lang w:val="en-US" w:eastAsia="zh-CN"/>
        </w:rPr>
        <w:t>178.2</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141.51</w:t>
      </w:r>
      <w:r>
        <w:rPr>
          <w:rFonts w:ascii="仿宋_GB2312" w:eastAsia="仿宋_GB2312"/>
          <w:sz w:val="32"/>
          <w:szCs w:val="32"/>
        </w:rPr>
        <w:t>万元。其中：基本工资</w:t>
      </w:r>
      <w:r>
        <w:rPr>
          <w:rFonts w:hint="eastAsia" w:ascii="仿宋_GB2312" w:eastAsia="仿宋_GB2312"/>
          <w:sz w:val="32"/>
          <w:szCs w:val="32"/>
          <w:lang w:val="en-US" w:eastAsia="zh-CN"/>
        </w:rPr>
        <w:t>24.13</w:t>
      </w:r>
      <w:r>
        <w:rPr>
          <w:rFonts w:ascii="仿宋_GB2312" w:eastAsia="仿宋_GB2312"/>
          <w:sz w:val="32"/>
          <w:szCs w:val="32"/>
        </w:rPr>
        <w:t>万元、津贴补贴</w:t>
      </w:r>
      <w:r>
        <w:rPr>
          <w:rFonts w:hint="eastAsia" w:ascii="仿宋_GB2312" w:eastAsia="仿宋_GB2312"/>
          <w:sz w:val="32"/>
          <w:szCs w:val="32"/>
          <w:lang w:val="en-US" w:eastAsia="zh-CN"/>
        </w:rPr>
        <w:t>82.02</w:t>
      </w:r>
      <w:r>
        <w:rPr>
          <w:rFonts w:ascii="仿宋_GB2312" w:eastAsia="仿宋_GB2312"/>
          <w:sz w:val="32"/>
          <w:szCs w:val="32"/>
        </w:rPr>
        <w:t>万元、奖金</w:t>
      </w:r>
      <w:r>
        <w:rPr>
          <w:rFonts w:hint="eastAsia" w:ascii="仿宋_GB2312" w:eastAsia="仿宋_GB2312"/>
          <w:sz w:val="32"/>
          <w:szCs w:val="32"/>
          <w:lang w:val="en-US" w:eastAsia="zh-CN"/>
        </w:rPr>
        <w:t>13.3</w:t>
      </w:r>
      <w:r>
        <w:rPr>
          <w:rFonts w:ascii="仿宋_GB2312" w:eastAsia="仿宋_GB2312"/>
          <w:sz w:val="32"/>
          <w:szCs w:val="32"/>
        </w:rPr>
        <w:t>万元、社会保障缴费</w:t>
      </w:r>
      <w:r>
        <w:rPr>
          <w:rFonts w:hint="eastAsia" w:ascii="仿宋_GB2312" w:eastAsia="仿宋_GB2312"/>
          <w:sz w:val="32"/>
          <w:szCs w:val="32"/>
          <w:lang w:val="en-US" w:eastAsia="zh-CN"/>
        </w:rPr>
        <w:t>10.17</w:t>
      </w:r>
      <w:r>
        <w:rPr>
          <w:rFonts w:ascii="仿宋_GB2312" w:eastAsia="仿宋_GB2312"/>
          <w:sz w:val="32"/>
          <w:szCs w:val="32"/>
        </w:rPr>
        <w:t>万元、绩效工资</w:t>
      </w:r>
      <w:r>
        <w:rPr>
          <w:rFonts w:hint="eastAsia" w:ascii="仿宋_GB2312" w:eastAsia="仿宋_GB2312"/>
          <w:sz w:val="32"/>
          <w:szCs w:val="32"/>
          <w:lang w:val="en-US" w:eastAsia="zh-CN"/>
        </w:rPr>
        <w:t>11.89</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23.44</w:t>
      </w:r>
      <w:r>
        <w:rPr>
          <w:rFonts w:ascii="仿宋_GB2312" w:eastAsia="仿宋_GB2312"/>
          <w:sz w:val="32"/>
          <w:szCs w:val="32"/>
        </w:rPr>
        <w:t>万元。其中：医疗费</w:t>
      </w:r>
      <w:r>
        <w:rPr>
          <w:rFonts w:hint="eastAsia" w:ascii="仿宋_GB2312" w:eastAsia="仿宋_GB2312"/>
          <w:sz w:val="32"/>
          <w:szCs w:val="32"/>
          <w:lang w:val="en-US" w:eastAsia="zh-CN"/>
        </w:rPr>
        <w:t>13.29</w:t>
      </w:r>
      <w:r>
        <w:rPr>
          <w:rFonts w:ascii="仿宋_GB2312" w:eastAsia="仿宋_GB2312"/>
          <w:sz w:val="32"/>
          <w:szCs w:val="32"/>
        </w:rPr>
        <w:t>万元、住房公积金</w:t>
      </w:r>
      <w:r>
        <w:rPr>
          <w:rFonts w:hint="eastAsia" w:ascii="仿宋_GB2312" w:eastAsia="仿宋_GB2312"/>
          <w:sz w:val="32"/>
          <w:szCs w:val="32"/>
          <w:lang w:val="en-US" w:eastAsia="zh-CN"/>
        </w:rPr>
        <w:t>10.15</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13.22</w:t>
      </w:r>
      <w:r>
        <w:rPr>
          <w:rFonts w:ascii="仿宋_GB2312" w:eastAsia="仿宋_GB2312"/>
          <w:sz w:val="32"/>
          <w:szCs w:val="32"/>
        </w:rPr>
        <w:t>万元。其中：办公费</w:t>
      </w:r>
      <w:r>
        <w:rPr>
          <w:rFonts w:hint="eastAsia" w:ascii="仿宋_GB2312" w:eastAsia="仿宋_GB2312"/>
          <w:sz w:val="32"/>
          <w:szCs w:val="32"/>
          <w:lang w:val="en-US" w:eastAsia="zh-CN"/>
        </w:rPr>
        <w:t>1.61</w:t>
      </w:r>
      <w:r>
        <w:rPr>
          <w:rFonts w:ascii="仿宋_GB2312" w:eastAsia="仿宋_GB2312"/>
          <w:sz w:val="32"/>
          <w:szCs w:val="32"/>
        </w:rPr>
        <w:t>万元、印刷费</w:t>
      </w:r>
      <w:r>
        <w:rPr>
          <w:rFonts w:hint="eastAsia" w:ascii="仿宋_GB2312" w:eastAsia="仿宋_GB2312"/>
          <w:sz w:val="32"/>
          <w:szCs w:val="32"/>
          <w:lang w:val="en-US" w:eastAsia="zh-CN"/>
        </w:rPr>
        <w:t>0.17</w:t>
      </w:r>
      <w:r>
        <w:rPr>
          <w:rFonts w:ascii="仿宋_GB2312" w:eastAsia="仿宋_GB2312"/>
          <w:sz w:val="32"/>
          <w:szCs w:val="32"/>
        </w:rPr>
        <w:t>万元、取暖费</w:t>
      </w:r>
      <w:r>
        <w:rPr>
          <w:rFonts w:hint="eastAsia" w:ascii="仿宋_GB2312" w:eastAsia="仿宋_GB2312"/>
          <w:sz w:val="32"/>
          <w:szCs w:val="32"/>
          <w:lang w:val="en-US" w:eastAsia="zh-CN"/>
        </w:rPr>
        <w:t>3.84</w:t>
      </w:r>
      <w:r>
        <w:rPr>
          <w:rFonts w:ascii="仿宋_GB2312" w:eastAsia="仿宋_GB2312"/>
          <w:sz w:val="32"/>
          <w:szCs w:val="32"/>
        </w:rPr>
        <w:t>万元、差旅费</w:t>
      </w:r>
      <w:r>
        <w:rPr>
          <w:rFonts w:hint="eastAsia" w:ascii="仿宋_GB2312" w:eastAsia="仿宋_GB2312"/>
          <w:sz w:val="32"/>
          <w:szCs w:val="32"/>
          <w:lang w:val="en-US" w:eastAsia="zh-CN"/>
        </w:rPr>
        <w:t>0.61</w:t>
      </w:r>
      <w:r>
        <w:rPr>
          <w:rFonts w:ascii="仿宋_GB2312" w:eastAsia="仿宋_GB2312"/>
          <w:sz w:val="32"/>
          <w:szCs w:val="32"/>
        </w:rPr>
        <w:t>万元、培训费</w:t>
      </w:r>
      <w:r>
        <w:rPr>
          <w:rFonts w:hint="eastAsia" w:ascii="仿宋_GB2312" w:eastAsia="仿宋_GB2312"/>
          <w:sz w:val="32"/>
          <w:szCs w:val="32"/>
          <w:lang w:val="en-US" w:eastAsia="zh-CN"/>
        </w:rPr>
        <w:t>0.59</w:t>
      </w:r>
      <w:r>
        <w:rPr>
          <w:rFonts w:ascii="仿宋_GB2312" w:eastAsia="仿宋_GB2312"/>
          <w:sz w:val="32"/>
          <w:szCs w:val="32"/>
        </w:rPr>
        <w:t>万元、劳务费</w:t>
      </w:r>
      <w:r>
        <w:rPr>
          <w:rFonts w:hint="eastAsia" w:ascii="仿宋_GB2312" w:eastAsia="仿宋_GB2312"/>
          <w:sz w:val="32"/>
          <w:szCs w:val="32"/>
          <w:lang w:val="en-US" w:eastAsia="zh-CN"/>
        </w:rPr>
        <w:t>2.82</w:t>
      </w:r>
      <w:r>
        <w:rPr>
          <w:rFonts w:ascii="仿宋_GB2312" w:eastAsia="仿宋_GB2312"/>
          <w:sz w:val="32"/>
          <w:szCs w:val="32"/>
        </w:rPr>
        <w:t>万元、工会经费</w:t>
      </w:r>
      <w:r>
        <w:rPr>
          <w:rFonts w:hint="eastAsia" w:ascii="仿宋_GB2312" w:eastAsia="仿宋_GB2312"/>
          <w:sz w:val="32"/>
          <w:szCs w:val="32"/>
          <w:lang w:val="en-US" w:eastAsia="zh-CN"/>
        </w:rPr>
        <w:t>1.9</w:t>
      </w:r>
      <w:r>
        <w:rPr>
          <w:rFonts w:ascii="仿宋_GB2312" w:eastAsia="仿宋_GB2312"/>
          <w:sz w:val="32"/>
          <w:szCs w:val="32"/>
        </w:rPr>
        <w:t>万元、其他交通费用</w:t>
      </w:r>
      <w:r>
        <w:rPr>
          <w:rFonts w:hint="eastAsia" w:ascii="仿宋_GB2312" w:eastAsia="仿宋_GB2312"/>
          <w:sz w:val="32"/>
          <w:szCs w:val="32"/>
          <w:lang w:val="en-US" w:eastAsia="zh-CN"/>
        </w:rPr>
        <w:t>0.79</w:t>
      </w:r>
      <w:r>
        <w:rPr>
          <w:rFonts w:ascii="仿宋_GB2312" w:eastAsia="仿宋_GB2312"/>
          <w:sz w:val="32"/>
          <w:szCs w:val="32"/>
        </w:rPr>
        <w:t>万元、其他商品和服务支出</w:t>
      </w:r>
      <w:r>
        <w:rPr>
          <w:rFonts w:hint="eastAsia" w:ascii="仿宋_GB2312" w:eastAsia="仿宋_GB2312"/>
          <w:sz w:val="32"/>
          <w:szCs w:val="32"/>
          <w:lang w:val="en-US" w:eastAsia="zh-CN"/>
        </w:rPr>
        <w:t>0.89</w:t>
      </w:r>
      <w:r>
        <w:rPr>
          <w:rFonts w:ascii="仿宋_GB2312" w:eastAsia="仿宋_GB2312"/>
          <w:sz w:val="32"/>
          <w:szCs w:val="32"/>
        </w:rPr>
        <w:t>万元。</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0.3</w:t>
      </w:r>
      <w:r>
        <w:rPr>
          <w:rFonts w:ascii="仿宋_GB2312" w:eastAsia="仿宋_GB2312"/>
          <w:sz w:val="32"/>
          <w:szCs w:val="32"/>
        </w:rPr>
        <w:t>万元，其中：因公出国（境）费预算</w:t>
      </w:r>
      <w:r>
        <w:rPr>
          <w:rFonts w:hint="eastAsia" w:ascii="仿宋_GB2312" w:eastAsia="仿宋_GB2312"/>
          <w:sz w:val="32"/>
          <w:szCs w:val="32"/>
          <w:lang w:val="en-US" w:eastAsia="zh-CN"/>
        </w:rPr>
        <w:t>0</w:t>
      </w:r>
      <w:r>
        <w:rPr>
          <w:rFonts w:ascii="仿宋_GB2312" w:eastAsia="仿宋_GB2312"/>
          <w:sz w:val="32"/>
          <w:szCs w:val="32"/>
        </w:rPr>
        <w:t>万元，公务用车购置及运行费预算</w:t>
      </w:r>
      <w:r>
        <w:rPr>
          <w:rFonts w:hint="eastAsia" w:ascii="仿宋_GB2312" w:eastAsia="仿宋_GB2312"/>
          <w:sz w:val="32"/>
          <w:szCs w:val="32"/>
          <w:lang w:val="en-US" w:eastAsia="zh-CN"/>
        </w:rPr>
        <w:t>0.3</w:t>
      </w:r>
      <w:r>
        <w:rPr>
          <w:rFonts w:ascii="仿宋_GB2312" w:eastAsia="仿宋_GB2312"/>
          <w:sz w:val="32"/>
          <w:szCs w:val="32"/>
        </w:rPr>
        <w:t>万元，公务接待费预算</w:t>
      </w:r>
      <w:r>
        <w:rPr>
          <w:rFonts w:hint="eastAsia" w:ascii="仿宋_GB2312" w:eastAsia="仿宋_GB2312"/>
          <w:sz w:val="32"/>
          <w:szCs w:val="32"/>
          <w:lang w:val="en-US" w:eastAsia="zh-CN"/>
        </w:rPr>
        <w:t>0</w:t>
      </w:r>
      <w:r>
        <w:rPr>
          <w:rFonts w:ascii="仿宋_GB2312" w:eastAsia="仿宋_GB2312"/>
          <w:sz w:val="32"/>
          <w:szCs w:val="32"/>
        </w:rPr>
        <w:t>万元。支出决算为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%，其中：因公出国（境）费支出决算为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%；公务用车运行费支出决算为</w:t>
      </w:r>
      <w:r>
        <w:rPr>
          <w:rFonts w:hint="eastAsia" w:ascii="仿宋_GB2312" w:eastAsia="仿宋_GB2312"/>
          <w:sz w:val="32"/>
          <w:szCs w:val="32"/>
          <w:lang w:val="en-US" w:eastAsia="zh-CN"/>
        </w:rPr>
        <w:t>0</w:t>
      </w:r>
      <w:r>
        <w:rPr>
          <w:rFonts w:ascii="仿宋_GB2312" w:eastAsia="仿宋_GB2312"/>
          <w:sz w:val="32"/>
          <w:szCs w:val="32"/>
        </w:rPr>
        <w:t>万元，完成预算的</w:t>
      </w:r>
      <w:r>
        <w:rPr>
          <w:rFonts w:hint="eastAsia" w:ascii="仿宋_GB2312" w:eastAsia="仿宋_GB2312"/>
          <w:sz w:val="32"/>
          <w:szCs w:val="32"/>
          <w:lang w:val="en-US" w:eastAsia="zh-CN"/>
        </w:rPr>
        <w:t>0</w:t>
      </w:r>
      <w:r>
        <w:rPr>
          <w:rFonts w:ascii="仿宋_GB2312" w:eastAsia="仿宋_GB2312"/>
          <w:sz w:val="32"/>
          <w:szCs w:val="32"/>
        </w:rPr>
        <w:t>%；公务接待费支出决算为</w:t>
      </w:r>
      <w:r>
        <w:rPr>
          <w:rFonts w:hint="eastAsia" w:ascii="仿宋_GB2312" w:eastAsia="仿宋_GB2312"/>
          <w:sz w:val="32"/>
          <w:szCs w:val="32"/>
          <w:lang w:val="en-US" w:eastAsia="zh-CN"/>
        </w:rPr>
        <w:t>0</w:t>
      </w:r>
      <w:r>
        <w:rPr>
          <w:rFonts w:ascii="仿宋_GB2312" w:eastAsia="仿宋_GB2312"/>
          <w:sz w:val="32"/>
          <w:szCs w:val="32"/>
        </w:rPr>
        <w:t>万元，完成预算</w:t>
      </w:r>
      <w:r>
        <w:rPr>
          <w:rFonts w:hint="eastAsia" w:ascii="仿宋_GB2312" w:eastAsia="仿宋_GB2312"/>
          <w:sz w:val="32"/>
          <w:szCs w:val="32"/>
          <w:lang w:val="en-US" w:eastAsia="zh-CN"/>
        </w:rPr>
        <w:t>0</w:t>
      </w:r>
      <w:r>
        <w:rPr>
          <w:rFonts w:ascii="仿宋_GB2312" w:eastAsia="仿宋_GB2312"/>
          <w:sz w:val="32"/>
          <w:szCs w:val="32"/>
        </w:rPr>
        <w:t>%。</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年度“三公”经费财政拨款支出决算中，因公出国（境）费支出决算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%；公务用车购置及运行费支出决算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%；公务接待费支出决算</w:t>
      </w:r>
      <w:r>
        <w:rPr>
          <w:rFonts w:hint="eastAsia" w:ascii="仿宋_GB2312" w:eastAsia="仿宋_GB2312"/>
          <w:sz w:val="32"/>
          <w:szCs w:val="32"/>
          <w:lang w:val="en-US" w:eastAsia="zh-CN"/>
        </w:rPr>
        <w:t>0</w:t>
      </w:r>
      <w:r>
        <w:rPr>
          <w:rFonts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%。具体情况如下：</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lang w:val="en-US" w:eastAsia="zh-CN"/>
        </w:rPr>
        <w:t>0</w:t>
      </w:r>
      <w:r>
        <w:rPr>
          <w:rFonts w:ascii="仿宋_GB2312" w:eastAsia="仿宋_GB2312"/>
          <w:sz w:val="32"/>
          <w:szCs w:val="32"/>
        </w:rPr>
        <w:t>万元。全年使用财政拨款安排部机关和部属单位出国团组</w:t>
      </w:r>
      <w:r>
        <w:rPr>
          <w:rFonts w:hint="eastAsia" w:ascii="仿宋_GB2312" w:eastAsia="仿宋_GB2312"/>
          <w:sz w:val="32"/>
          <w:szCs w:val="32"/>
          <w:lang w:val="en-US" w:eastAsia="zh-CN"/>
        </w:rPr>
        <w:t>0</w:t>
      </w:r>
      <w:r>
        <w:rPr>
          <w:rFonts w:ascii="仿宋_GB2312" w:eastAsia="仿宋_GB2312"/>
          <w:sz w:val="32"/>
          <w:szCs w:val="32"/>
        </w:rPr>
        <w:t>个，</w:t>
      </w:r>
      <w:r>
        <w:rPr>
          <w:rFonts w:hint="eastAsia" w:ascii="仿宋_GB2312" w:eastAsia="仿宋_GB2312"/>
          <w:sz w:val="32"/>
          <w:szCs w:val="32"/>
          <w:lang w:val="en-US" w:eastAsia="zh-CN"/>
        </w:rPr>
        <w:t>0</w:t>
      </w:r>
      <w:r>
        <w:rPr>
          <w:rFonts w:ascii="仿宋_GB2312" w:eastAsia="仿宋_GB2312"/>
          <w:sz w:val="32"/>
          <w:szCs w:val="32"/>
        </w:rPr>
        <w:t>人次。</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万元，购置公务用车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ascii="仿宋_GB2312" w:eastAsia="仿宋_GB2312"/>
          <w:sz w:val="32"/>
          <w:szCs w:val="32"/>
        </w:rPr>
        <w:t>公务用车运行费支出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lang w:val="en-US" w:eastAsia="zh-CN"/>
        </w:rPr>
        <w:t>0</w:t>
      </w:r>
      <w:r>
        <w:rPr>
          <w:rFonts w:ascii="仿宋_GB2312" w:eastAsia="仿宋_GB2312"/>
          <w:sz w:val="32"/>
          <w:szCs w:val="32"/>
        </w:rPr>
        <w:t>辆。</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公务接待费支出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外事接待支出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lang w:val="en-US" w:eastAsia="zh-CN"/>
        </w:rPr>
        <w:t>0</w:t>
      </w:r>
      <w:r>
        <w:rPr>
          <w:rFonts w:ascii="仿宋_GB2312" w:eastAsia="仿宋_GB2312"/>
          <w:sz w:val="32"/>
          <w:szCs w:val="32"/>
        </w:rPr>
        <w:t>批次，</w:t>
      </w:r>
      <w:r>
        <w:rPr>
          <w:rFonts w:hint="eastAsia" w:ascii="仿宋_GB2312" w:eastAsia="仿宋_GB2312"/>
          <w:sz w:val="32"/>
          <w:szCs w:val="32"/>
          <w:lang w:val="en-US" w:eastAsia="zh-CN"/>
        </w:rPr>
        <w:t>0</w:t>
      </w:r>
      <w:r>
        <w:rPr>
          <w:rFonts w:ascii="仿宋_GB2312" w:eastAsia="仿宋_GB2312"/>
          <w:sz w:val="32"/>
          <w:szCs w:val="32"/>
        </w:rPr>
        <w:t>人次</w:t>
      </w:r>
      <w:r>
        <w:rPr>
          <w:rFonts w:hint="eastAsia" w:ascii="仿宋_GB2312" w:eastAsia="仿宋_GB2312"/>
          <w:sz w:val="32"/>
          <w:szCs w:val="32"/>
        </w:rPr>
        <w:t>；</w:t>
      </w:r>
      <w:r>
        <w:rPr>
          <w:rFonts w:ascii="仿宋_GB2312" w:eastAsia="仿宋_GB2312"/>
          <w:sz w:val="32"/>
          <w:szCs w:val="32"/>
        </w:rPr>
        <w:t>国内公务接待支出</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lang w:val="en-US" w:eastAsia="zh-CN"/>
        </w:rPr>
        <w:t>0</w:t>
      </w:r>
      <w:r>
        <w:rPr>
          <w:rFonts w:ascii="仿宋_GB2312" w:eastAsia="仿宋_GB2312"/>
          <w:sz w:val="32"/>
          <w:szCs w:val="32"/>
        </w:rPr>
        <w:t>批次，</w:t>
      </w:r>
      <w:r>
        <w:rPr>
          <w:rFonts w:hint="eastAsia" w:ascii="仿宋_GB2312" w:eastAsia="仿宋_GB2312"/>
          <w:sz w:val="32"/>
          <w:szCs w:val="32"/>
          <w:lang w:val="en-US" w:eastAsia="zh-CN"/>
        </w:rPr>
        <w:t>0</w:t>
      </w:r>
      <w:r>
        <w:rPr>
          <w:rFonts w:ascii="仿宋_GB2312" w:eastAsia="仿宋_GB2312"/>
          <w:sz w:val="32"/>
          <w:szCs w:val="32"/>
        </w:rPr>
        <w:t>人次。</w:t>
      </w:r>
    </w:p>
    <w:p>
      <w:pPr>
        <w:ind w:firstLine="640"/>
        <w:rPr>
          <w:rFonts w:ascii="仿宋_GB2312" w:eastAsia="仿宋_GB2312"/>
          <w:sz w:val="32"/>
          <w:szCs w:val="32"/>
        </w:rPr>
      </w:pPr>
      <w:r>
        <w:rPr>
          <w:rFonts w:ascii="仿宋_GB2312" w:eastAsia="仿宋_GB2312"/>
          <w:sz w:val="32"/>
          <w:szCs w:val="32"/>
        </w:rPr>
        <w:t>（三）“三公”经费与上年执行情况差异说明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年度“三公”经费支出决算数比上年决算数减少</w:t>
      </w:r>
      <w:r>
        <w:rPr>
          <w:rFonts w:hint="eastAsia" w:ascii="仿宋_GB2312" w:eastAsia="仿宋_GB2312"/>
          <w:sz w:val="32"/>
          <w:szCs w:val="32"/>
          <w:lang w:val="en-US" w:eastAsia="zh-CN"/>
        </w:rPr>
        <w:t>434</w:t>
      </w:r>
      <w:r>
        <w:rPr>
          <w:rFonts w:ascii="仿宋_GB2312" w:eastAsia="仿宋_GB2312"/>
          <w:sz w:val="32"/>
          <w:szCs w:val="32"/>
        </w:rPr>
        <w:t>元，其中：因公出国（境）支出决算数比上年数减少</w:t>
      </w:r>
      <w:r>
        <w:rPr>
          <w:rFonts w:hint="eastAsia" w:ascii="仿宋_GB2312" w:eastAsia="仿宋_GB2312"/>
          <w:sz w:val="32"/>
          <w:szCs w:val="32"/>
          <w:lang w:val="en-US" w:eastAsia="zh-CN"/>
        </w:rPr>
        <w:t>0</w:t>
      </w:r>
      <w:r>
        <w:rPr>
          <w:rFonts w:ascii="仿宋_GB2312" w:eastAsia="仿宋_GB2312"/>
          <w:sz w:val="32"/>
          <w:szCs w:val="32"/>
        </w:rPr>
        <w:t>万元，公务用车购置及运行维护费支出决算数比上年数减少</w:t>
      </w:r>
      <w:r>
        <w:rPr>
          <w:rFonts w:hint="eastAsia" w:ascii="仿宋_GB2312" w:eastAsia="仿宋_GB2312"/>
          <w:sz w:val="32"/>
          <w:szCs w:val="32"/>
          <w:lang w:val="en-US" w:eastAsia="zh-CN"/>
        </w:rPr>
        <w:t>0</w:t>
      </w:r>
      <w:r>
        <w:rPr>
          <w:rFonts w:ascii="仿宋_GB2312" w:eastAsia="仿宋_GB2312"/>
          <w:sz w:val="32"/>
          <w:szCs w:val="32"/>
        </w:rPr>
        <w:t>万元，公务接待费支出决算数比上年数减少</w:t>
      </w:r>
      <w:r>
        <w:rPr>
          <w:rFonts w:hint="eastAsia" w:ascii="仿宋_GB2312" w:eastAsia="仿宋_GB2312"/>
          <w:sz w:val="32"/>
          <w:szCs w:val="32"/>
          <w:lang w:val="en-US" w:eastAsia="zh-CN"/>
        </w:rPr>
        <w:t>434</w:t>
      </w:r>
      <w:r>
        <w:rPr>
          <w:rFonts w:ascii="仿宋_GB2312" w:eastAsia="仿宋_GB2312"/>
          <w:sz w:val="32"/>
          <w:szCs w:val="32"/>
        </w:rPr>
        <w:t>元，主要原因是</w:t>
      </w:r>
      <w:r>
        <w:rPr>
          <w:rFonts w:hint="eastAsia" w:ascii="仿宋_GB2312" w:eastAsia="仿宋_GB2312"/>
          <w:sz w:val="32"/>
          <w:szCs w:val="32"/>
        </w:rPr>
        <w:t>：</w:t>
      </w:r>
      <w:r>
        <w:rPr>
          <w:rFonts w:hint="eastAsia" w:ascii="仿宋_GB2312" w:eastAsia="仿宋_GB2312"/>
          <w:sz w:val="32"/>
          <w:szCs w:val="32"/>
          <w:lang w:eastAsia="zh-CN"/>
        </w:rPr>
        <w:t>无接待</w:t>
      </w:r>
      <w:r>
        <w:rPr>
          <w:rFonts w:hint="eastAsia" w:ascii="仿宋_GB2312" w:eastAsia="仿宋_GB2312"/>
          <w:sz w:val="32"/>
          <w:szCs w:val="32"/>
        </w:rPr>
        <w:t>。</w:t>
      </w:r>
    </w:p>
    <w:p>
      <w:pPr>
        <w:ind w:firstLine="640"/>
        <w:rPr>
          <w:rFonts w:ascii="仿宋_GB2312" w:eastAsia="仿宋_GB2312"/>
          <w:b/>
          <w:sz w:val="32"/>
          <w:szCs w:val="32"/>
        </w:rPr>
      </w:pPr>
      <w:r>
        <w:rPr>
          <w:rFonts w:hint="eastAsia" w:ascii="仿宋_GB2312" w:eastAsia="仿宋_GB2312"/>
          <w:b/>
          <w:sz w:val="32"/>
          <w:szCs w:val="32"/>
        </w:rPr>
        <w:t>四、</w:t>
      </w:r>
      <w:r>
        <w:rPr>
          <w:rFonts w:ascii="仿宋_GB2312" w:eastAsia="仿宋_GB2312"/>
          <w:b/>
          <w:sz w:val="32"/>
          <w:szCs w:val="32"/>
        </w:rPr>
        <w:t>201</w:t>
      </w:r>
      <w:r>
        <w:rPr>
          <w:rFonts w:hint="eastAsia" w:ascii="仿宋_GB2312" w:eastAsia="仿宋_GB2312"/>
          <w:b/>
          <w:sz w:val="32"/>
          <w:szCs w:val="32"/>
        </w:rPr>
        <w:t>5</w:t>
      </w:r>
      <w:r>
        <w:rPr>
          <w:rFonts w:ascii="仿宋_GB2312" w:eastAsia="仿宋_GB2312"/>
          <w:b/>
          <w:sz w:val="32"/>
          <w:szCs w:val="32"/>
        </w:rPr>
        <w:t>年度政府性基金收入支出情况说明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年政府性基金预算财政拨款上年结转和结余</w:t>
      </w:r>
      <w:r>
        <w:rPr>
          <w:rFonts w:hint="eastAsia" w:ascii="仿宋_GB2312" w:eastAsia="仿宋_GB2312"/>
          <w:sz w:val="32"/>
          <w:szCs w:val="32"/>
          <w:lang w:val="en-US" w:eastAsia="zh-CN"/>
        </w:rPr>
        <w:t>0</w:t>
      </w:r>
      <w:r>
        <w:rPr>
          <w:rFonts w:ascii="仿宋_GB2312" w:eastAsia="仿宋_GB2312"/>
          <w:sz w:val="32"/>
          <w:szCs w:val="32"/>
        </w:rPr>
        <w:t>万元，本年收入</w:t>
      </w:r>
      <w:r>
        <w:rPr>
          <w:rFonts w:hint="eastAsia" w:ascii="仿宋_GB2312" w:eastAsia="仿宋_GB2312"/>
          <w:sz w:val="32"/>
          <w:szCs w:val="32"/>
          <w:lang w:val="en-US" w:eastAsia="zh-CN"/>
        </w:rPr>
        <w:t>0</w:t>
      </w:r>
      <w:r>
        <w:rPr>
          <w:rFonts w:ascii="仿宋_GB2312" w:eastAsia="仿宋_GB2312"/>
          <w:sz w:val="32"/>
          <w:szCs w:val="32"/>
        </w:rPr>
        <w:t>万元，本年支出</w:t>
      </w:r>
      <w:r>
        <w:rPr>
          <w:rFonts w:hint="eastAsia" w:ascii="仿宋_GB2312" w:eastAsia="仿宋_GB2312"/>
          <w:sz w:val="32"/>
          <w:szCs w:val="32"/>
          <w:lang w:val="en-US" w:eastAsia="zh-CN"/>
        </w:rPr>
        <w:t>0</w:t>
      </w:r>
      <w:r>
        <w:rPr>
          <w:rFonts w:ascii="仿宋_GB2312" w:eastAsia="仿宋_GB2312"/>
          <w:sz w:val="32"/>
          <w:szCs w:val="32"/>
        </w:rPr>
        <w:t>万元，年末结转和结余</w:t>
      </w:r>
      <w:r>
        <w:rPr>
          <w:rFonts w:hint="eastAsia" w:ascii="仿宋_GB2312" w:eastAsia="仿宋_GB2312"/>
          <w:sz w:val="32"/>
          <w:szCs w:val="32"/>
          <w:lang w:val="en-US" w:eastAsia="zh-CN"/>
        </w:rPr>
        <w:t>0</w:t>
      </w:r>
      <w:r>
        <w:rPr>
          <w:rFonts w:ascii="仿宋_GB2312" w:eastAsia="仿宋_GB2312"/>
          <w:sz w:val="32"/>
          <w:szCs w:val="32"/>
        </w:rPr>
        <w:t>万元。</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4" w:type="default"/>
      <w:footerReference r:id="rId5" w:type="even"/>
      <w:pgSz w:w="11906" w:h="16838"/>
      <w:pgMar w:top="1103" w:right="1558" w:bottom="144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宋体"/>
    <w:panose1 w:val="02010609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8315679">
    <w:nsid w:val="5784B81F"/>
    <w:multiLevelType w:val="singleLevel"/>
    <w:tmpl w:val="5784B81F"/>
    <w:lvl w:ilvl="0" w:tentative="1">
      <w:start w:val="1"/>
      <w:numFmt w:val="chineseCounting"/>
      <w:suff w:val="nothing"/>
      <w:lvlText w:val="%1、"/>
      <w:lvlJc w:val="left"/>
    </w:lvl>
  </w:abstractNum>
  <w:num w:numId="1">
    <w:abstractNumId w:val="14683156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1DE1"/>
    <w:rsid w:val="00021D15"/>
    <w:rsid w:val="00036CEC"/>
    <w:rsid w:val="00106A2B"/>
    <w:rsid w:val="00117D5F"/>
    <w:rsid w:val="00165134"/>
    <w:rsid w:val="00176063"/>
    <w:rsid w:val="00190F69"/>
    <w:rsid w:val="001C009A"/>
    <w:rsid w:val="00215420"/>
    <w:rsid w:val="00237364"/>
    <w:rsid w:val="00256A95"/>
    <w:rsid w:val="002958DB"/>
    <w:rsid w:val="002C261A"/>
    <w:rsid w:val="002C67F5"/>
    <w:rsid w:val="00354AC6"/>
    <w:rsid w:val="00387981"/>
    <w:rsid w:val="003C559C"/>
    <w:rsid w:val="003E185A"/>
    <w:rsid w:val="003E527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065462AF"/>
    <w:rsid w:val="67CA02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1407</Words>
  <Characters>8026</Characters>
  <Lines>66</Lines>
  <Paragraphs>18</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2016-05-30T00:44:00Z</cp:lastPrinted>
  <dcterms:modified xsi:type="dcterms:W3CDTF">2016-07-12T09:52:22Z</dcterms:modified>
  <dc:title>XXX 2012年度部门决算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