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cs="宋体" w:hint="eastAsia"/>
          <w:kern w:val="0"/>
          <w:sz w:val="44"/>
          <w:szCs w:val="44"/>
        </w:rPr>
        <w:t xml:space="preserve">沙柳河镇人民政府党委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362205">
        <w:rPr>
          <w:rFonts w:ascii="宋体" w:hAnsi="宋体" w:cs="宋体"/>
          <w:kern w:val="0"/>
          <w:sz w:val="44"/>
          <w:szCs w:val="44"/>
        </w:rPr>
        <w:t xml:space="preserve">2017</w:t>
      </w:r>
      <w:r w:rsidRPr="00362205">
        <w:rPr>
          <w:rFonts w:ascii="宋体" w:hAnsi="宋体" w:cs="宋体" w:hint="eastAsia"/>
          <w:kern w:val="0"/>
          <w:sz w:val="44"/>
          <w:szCs w:val="44"/>
        </w:rPr>
        <w:t xml:space="preserve">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镇党委基本职能是促进经济发展、加强社会管理、搞活好公共服务、加强基层政权建设、维护农牧区社会和谐稳定，重点强化以下几方面的职能，一是为农牧区经济发展创造环境。包括稳定农牧区基本经营制度，维护农牧民的主体地位和权益，加强对农牧区市场的监管，组织农牧区基础设施建设，完善农牧业社会化服务体系。二是为农牧区提供更多的公共服务，加快农牧区教育、卫生、文化、体育、科技、环境保护等社会事业的发展。三是为农牧区构建和谐社会创造条件，加强社会管理中的薄弱环节，开展农牧区扶贫和社会救助，化解农牧区社会矛盾，保持农牧区社会稳定。促进经济发展，加强社会管理，搞好公共服务，维护农牧区稳定。四是推动农牧区民主政治建设和村民自治，提高农牧民的民主法治意识。同时，履行土地承包、农民负担监督、农村集体经济资产管理等行政职责。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中国共产党沙柳河镇委员会委员</w:t>
      </w:r>
      <w:r w:rsidRPr="00A770FE">
        <w:rPr>
          <w:rFonts w:ascii="仿宋_GB2312" w:eastAsia="仿宋_GB2312" w:cs="仿宋_GB2312"/>
          <w:kern w:val="0"/>
          <w:sz w:val="32"/>
          <w:szCs w:val="32"/>
        </w:rPr>
        <w:t xml:space="preserve">3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名，中国共产党哈尔盖镇纪律检查委员会委员</w:t>
      </w:r>
      <w:r w:rsidRPr="00A770FE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名。党委书记</w:t>
      </w:r>
      <w:r w:rsidRPr="00A770FE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名，副主任科员</w:t>
      </w:r>
      <w:r w:rsidRPr="00A770FE">
        <w:rPr>
          <w:rFonts w:ascii="仿宋_GB2312" w:eastAsia="仿宋_GB2312" w:cs="仿宋_GB2312"/>
          <w:kern w:val="0"/>
          <w:sz w:val="32"/>
          <w:szCs w:val="32"/>
        </w:rPr>
        <w:t xml:space="preserve">1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名。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68.56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12.88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7.69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6.14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,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其中：一般公共服务支出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68.56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71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12.88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13.5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7.69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8.1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6.14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6.4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84.74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3.82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(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)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.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95.27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88.56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92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7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%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3168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 w:rsidRPr="00A770FE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3168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 w:rsidRPr="00A770FE">
        <w:rPr>
          <w:rFonts w:ascii="仿宋_GB2312" w:eastAsia="仿宋_GB2312" w:cs="仿宋_GB2312" w:hint="eastAsia"/>
          <w:kern w:val="0"/>
          <w:sz w:val="32"/>
          <w:szCs w:val="32"/>
        </w:rPr>
        <w:t xml:space="preserve">沙柳河镇人民政府党委</w:t>
      </w:r>
      <w:r w:rsidRPr="00362205">
        <w:rPr>
          <w:rFonts w:ascii="仿宋_GB2312" w:eastAsia="仿宋_GB2312" w:cs="仿宋_GB2312"/>
          <w:kern w:val="0"/>
          <w:sz w:val="32"/>
          <w:szCs w:val="32"/>
        </w:rPr>
        <w:t xml:space="preserve">2017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6.7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.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99"/>
    <w:semiHidden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uiPriority w:val="99"/>
    <w:semiHidden/>
    <w:locked/>
    <w:rsid w:val="005474CC"/>
    <w:rPr>
      <w:rFonts w:cs="Times New Roman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Normal_Wordconv.dotm</Template>
  <TotalTime>31</TotalTime>
  <Pages>4</Pages>
  <Words>239</Words>
  <Characters>1367</Characters>
  <Application>Microsoft Office Outlook</Application>
  <DocSecurity>0</DocSecurity>
  <Lines>0</Lines>
  <Paragraphs>0</Paragraphs>
  <Company>China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mecctor</cp:lastModifiedBy>
  <cp:revision>8</cp:revision>
  <dcterms:created xsi:type="dcterms:W3CDTF">2017-03-22T14:07:00Z</dcterms:created>
  <dcterms:modified xsi:type="dcterms:W3CDTF">2017-03-23T06:07:00Z</dcterms:modified>
</cp:coreProperties>
</file>