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260"/>
        </w:tabs>
        <w:spacing w:line="520" w:lineRule="exact"/>
        <w:jc w:val="center"/>
        <w:rPr>
          <w:rFonts w:hint="eastAsia" w:eastAsia="宋体"/>
          <w:b/>
          <w:sz w:val="28"/>
          <w:szCs w:val="28"/>
          <w:lang w:eastAsia="zh-CN"/>
        </w:rPr>
      </w:pPr>
    </w:p>
    <w:p>
      <w:pPr>
        <w:tabs>
          <w:tab w:val="left" w:pos="1260"/>
        </w:tabs>
        <w:spacing w:line="520" w:lineRule="exact"/>
        <w:jc w:val="center"/>
        <w:rPr>
          <w:b/>
          <w:sz w:val="28"/>
          <w:szCs w:val="28"/>
        </w:rPr>
      </w:pPr>
    </w:p>
    <w:p>
      <w:pPr>
        <w:spacing w:line="520" w:lineRule="exact"/>
        <w:jc w:val="center"/>
        <w:rPr>
          <w:b/>
          <w:sz w:val="44"/>
          <w:szCs w:val="44"/>
        </w:rPr>
      </w:pPr>
    </w:p>
    <w:p>
      <w:pPr>
        <w:spacing w:line="520" w:lineRule="exact"/>
        <w:jc w:val="center"/>
        <w:rPr>
          <w:b/>
          <w:sz w:val="44"/>
          <w:szCs w:val="44"/>
        </w:rPr>
      </w:pPr>
    </w:p>
    <w:p>
      <w:pPr>
        <w:spacing w:line="520" w:lineRule="exact"/>
        <w:jc w:val="center"/>
        <w:rPr>
          <w:b/>
          <w:sz w:val="44"/>
          <w:szCs w:val="44"/>
        </w:rPr>
      </w:pPr>
    </w:p>
    <w:p>
      <w:pPr>
        <w:spacing w:line="520" w:lineRule="exact"/>
        <w:jc w:val="center"/>
        <w:rPr>
          <w:b/>
          <w:sz w:val="44"/>
          <w:szCs w:val="44"/>
        </w:rPr>
      </w:pPr>
    </w:p>
    <w:p>
      <w:pPr>
        <w:spacing w:line="520" w:lineRule="exact"/>
        <w:jc w:val="center"/>
        <w:rPr>
          <w:b/>
          <w:sz w:val="44"/>
          <w:szCs w:val="44"/>
        </w:rPr>
      </w:pPr>
    </w:p>
    <w:p>
      <w:pPr>
        <w:spacing w:line="520" w:lineRule="exact"/>
        <w:jc w:val="center"/>
        <w:rPr>
          <w:b/>
          <w:sz w:val="44"/>
          <w:szCs w:val="44"/>
        </w:rPr>
      </w:pPr>
    </w:p>
    <w:p>
      <w:pPr>
        <w:spacing w:line="520" w:lineRule="exact"/>
        <w:jc w:val="both"/>
        <w:rPr>
          <w:b/>
          <w:sz w:val="44"/>
          <w:szCs w:val="44"/>
        </w:rPr>
      </w:pPr>
    </w:p>
    <w:p>
      <w:pPr>
        <w:spacing w:line="520" w:lineRule="exact"/>
        <w:jc w:val="center"/>
        <w:rPr>
          <w:b/>
          <w:sz w:val="44"/>
          <w:szCs w:val="44"/>
        </w:rPr>
      </w:pPr>
    </w:p>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仿宋_GB2312" w:eastAsia="仿宋_GB2312"/>
          <w:sz w:val="32"/>
        </w:rPr>
      </w:pP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仿宋_GB2312" w:eastAsia="仿宋_GB2312"/>
          <w:sz w:val="32"/>
        </w:rPr>
      </w:pPr>
    </w:p>
    <w:p>
      <w:pPr>
        <w:tabs>
          <w:tab w:val="left" w:pos="8640"/>
        </w:tabs>
        <w:ind w:firstLine="1920" w:firstLineChars="600"/>
        <w:rPr>
          <w:rFonts w:hint="eastAsia" w:ascii="仿宋_GB2312" w:eastAsia="仿宋_GB2312"/>
          <w:sz w:val="32"/>
        </w:rPr>
      </w:pPr>
    </w:p>
    <w:p>
      <w:pPr>
        <w:tabs>
          <w:tab w:val="left" w:pos="8640"/>
        </w:tabs>
        <w:ind w:firstLine="2240" w:firstLineChars="700"/>
        <w:rPr>
          <w:rFonts w:hint="eastAsia" w:ascii="仿宋_GB2312" w:eastAsia="仿宋_GB2312"/>
          <w:sz w:val="32"/>
          <w:lang w:eastAsia="zh-CN"/>
        </w:rPr>
      </w:pPr>
      <w:r>
        <w:rPr>
          <w:rFonts w:hint="eastAsia" w:ascii="仿宋_GB2312" w:eastAsia="仿宋_GB2312"/>
          <w:sz w:val="32"/>
        </w:rPr>
        <w:t>20</w:t>
      </w:r>
      <w:r>
        <w:rPr>
          <w:rFonts w:hint="eastAsia" w:ascii="仿宋_GB2312" w:eastAsia="仿宋_GB2312"/>
          <w:sz w:val="32"/>
          <w:lang w:val="en-US" w:eastAsia="zh-CN"/>
        </w:rPr>
        <w:t>22</w:t>
      </w:r>
      <w:r>
        <w:rPr>
          <w:rFonts w:hint="eastAsia" w:ascii="仿宋_GB2312" w:eastAsia="仿宋_GB2312"/>
          <w:sz w:val="32"/>
        </w:rPr>
        <w:t xml:space="preserve">  </w:t>
      </w:r>
      <w:r>
        <w:rPr>
          <w:rFonts w:hint="eastAsia" w:ascii="仿宋_GB2312" w:eastAsia="仿宋_GB2312"/>
          <w:sz w:val="32"/>
          <w:lang w:val="en-US" w:eastAsia="zh-CN"/>
        </w:rPr>
        <w:t xml:space="preserve"> 8 </w:t>
      </w:r>
      <w:r>
        <w:rPr>
          <w:rFonts w:hint="eastAsia" w:ascii="仿宋_GB2312" w:eastAsia="仿宋_GB2312"/>
          <w:sz w:val="32"/>
        </w:rPr>
        <w:t xml:space="preserve">                        李</w:t>
      </w:r>
      <w:r>
        <w:rPr>
          <w:rFonts w:hint="eastAsia" w:ascii="仿宋_GB2312" w:eastAsia="仿宋_GB2312"/>
          <w:sz w:val="32"/>
          <w:lang w:eastAsia="zh-CN"/>
        </w:rPr>
        <w:t>成云</w:t>
      </w:r>
    </w:p>
    <w:p>
      <w:pPr>
        <w:pStyle w:val="2"/>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sz w:val="11"/>
          <w:szCs w:val="11"/>
        </w:rPr>
      </w:pPr>
    </w:p>
    <w:p>
      <w:pPr>
        <w:spacing w:line="520" w:lineRule="exact"/>
        <w:jc w:val="center"/>
        <w:rPr>
          <w:rFonts w:hint="eastAsia" w:ascii="宋体" w:hAnsi="宋体" w:eastAsia="宋体" w:cs="宋体"/>
          <w:b/>
          <w:bCs/>
          <w:sz w:val="44"/>
          <w:szCs w:val="44"/>
        </w:rPr>
      </w:pPr>
      <w:r>
        <w:rPr>
          <w:rFonts w:hint="eastAsia" w:ascii="宋体" w:hAnsi="宋体" w:eastAsia="宋体" w:cs="宋体"/>
          <w:b/>
          <w:bCs/>
          <w:sz w:val="44"/>
          <w:szCs w:val="44"/>
        </w:rPr>
        <w:t>刚察县教育局</w:t>
      </w:r>
    </w:p>
    <w:p>
      <w:pPr>
        <w:jc w:val="center"/>
        <w:rPr>
          <w:rFonts w:hint="eastAsia" w:ascii="宋体" w:hAnsi="宋体" w:eastAsia="宋体" w:cs="宋体"/>
          <w:b/>
          <w:bCs/>
          <w:color w:val="000000"/>
          <w:spacing w:val="-20"/>
          <w:sz w:val="44"/>
          <w:szCs w:val="44"/>
          <w:lang w:val="en-US" w:eastAsia="zh-CN"/>
        </w:rPr>
      </w:pPr>
      <w:r>
        <w:rPr>
          <w:rFonts w:hint="eastAsia" w:ascii="宋体" w:hAnsi="宋体" w:eastAsia="宋体" w:cs="宋体"/>
          <w:b/>
          <w:bCs/>
          <w:color w:val="000000"/>
          <w:spacing w:val="-20"/>
          <w:sz w:val="44"/>
          <w:szCs w:val="44"/>
          <w:lang w:val="en-US" w:eastAsia="zh-CN"/>
        </w:rPr>
        <w:t>关于上报《2021年度政府信息公开工作开展情况》的报告</w:t>
      </w:r>
    </w:p>
    <w:p>
      <w:pPr>
        <w:keepNext w:val="0"/>
        <w:keepLines w:val="0"/>
        <w:pageBreakBefore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000000"/>
          <w:spacing w:val="-20"/>
          <w:sz w:val="44"/>
          <w:szCs w:val="44"/>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县电子服务中心：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教育局认真贯彻落实《中华人民共和国政府信息公开条例》，按照上级部门要求，积极推进、指导、协调、监督教育系统内的政府信息公开工作，</w:t>
      </w:r>
      <w:r>
        <w:rPr>
          <w:rFonts w:hint="eastAsia" w:ascii="仿宋_GB2312" w:hAnsi="仿宋_GB2312" w:eastAsia="仿宋_GB2312" w:cs="仿宋_GB2312"/>
          <w:sz w:val="32"/>
          <w:szCs w:val="32"/>
          <w:lang w:val="en-US" w:eastAsia="zh-CN"/>
        </w:rPr>
        <w:t>现将我局2021年度信息公开工作开展情况报告如下：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总体情况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b/>
          <w:bCs/>
          <w:i w:val="0"/>
          <w:iCs w:val="0"/>
          <w:caps w:val="0"/>
          <w:color w:val="3D3D3D"/>
          <w:spacing w:val="0"/>
          <w:sz w:val="32"/>
          <w:szCs w:val="32"/>
        </w:rPr>
      </w:pPr>
      <w:r>
        <w:rPr>
          <w:rFonts w:hint="eastAsia" w:ascii="楷体_GB2312" w:hAnsi="楷体_GB2312" w:eastAsia="楷体_GB2312" w:cs="楷体_GB2312"/>
          <w:b/>
          <w:bCs/>
          <w:i w:val="0"/>
          <w:iCs w:val="0"/>
          <w:caps w:val="0"/>
          <w:color w:val="3D3D3D"/>
          <w:spacing w:val="0"/>
          <w:sz w:val="32"/>
          <w:szCs w:val="32"/>
          <w:shd w:val="clear" w:fill="FFFFFF"/>
        </w:rPr>
        <w:t>（一）完善工作制度，落实主体责任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iCs w:val="0"/>
          <w:caps w:val="0"/>
          <w:color w:val="3D3D3D"/>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教育局高度重视信息公开工作，建立了相应的政府信息公开组织机构，将政府信息公开工作分解落实到具体</w:t>
      </w:r>
      <w:r>
        <w:rPr>
          <w:rFonts w:hint="eastAsia" w:ascii="仿宋_GB2312" w:hAnsi="仿宋_GB2312" w:eastAsia="仿宋_GB2312" w:cs="仿宋_GB2312"/>
          <w:i w:val="0"/>
          <w:iCs w:val="0"/>
          <w:caps w:val="0"/>
          <w:color w:val="3D3D3D"/>
          <w:spacing w:val="0"/>
          <w:sz w:val="32"/>
          <w:szCs w:val="32"/>
          <w:shd w:val="clear" w:fill="FFFFFF"/>
          <w:lang w:val="en-US" w:eastAsia="zh-CN"/>
        </w:rPr>
        <w:t>科室</w:t>
      </w:r>
      <w:r>
        <w:rPr>
          <w:rFonts w:hint="eastAsia" w:ascii="仿宋_GB2312" w:hAnsi="仿宋_GB2312" w:eastAsia="仿宋_GB2312" w:cs="仿宋_GB2312"/>
          <w:i w:val="0"/>
          <w:iCs w:val="0"/>
          <w:caps w:val="0"/>
          <w:color w:val="3D3D3D"/>
          <w:spacing w:val="0"/>
          <w:sz w:val="32"/>
          <w:szCs w:val="32"/>
          <w:shd w:val="clear" w:fill="FFFFFF"/>
        </w:rPr>
        <w:t>和个人，确保信息公开落到实处。</w:t>
      </w:r>
    </w:p>
    <w:p>
      <w:pPr>
        <w:keepNext w:val="0"/>
        <w:keepLines w:val="0"/>
        <w:pageBreakBefore w:val="0"/>
        <w:numPr>
          <w:ilvl w:val="0"/>
          <w:numId w:val="0"/>
        </w:numPr>
        <w:kinsoku/>
        <w:wordWrap/>
        <w:overflowPunct/>
        <w:topLinePunct w:val="0"/>
        <w:autoSpaceDE/>
        <w:autoSpaceDN/>
        <w:bidi w:val="0"/>
        <w:adjustRightInd/>
        <w:snapToGrid/>
        <w:spacing w:line="560" w:lineRule="exact"/>
        <w:ind w:left="420" w:leftChars="0"/>
        <w:textAlignment w:val="auto"/>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pPr>
      <w:r>
        <w:rPr>
          <w:rFonts w:hint="eastAsia" w:ascii="楷体_GB2312" w:hAnsi="楷体_GB2312" w:eastAsia="楷体_GB2312" w:cs="楷体_GB2312"/>
          <w:b/>
          <w:bCs/>
          <w:i w:val="0"/>
          <w:iCs w:val="0"/>
          <w:caps w:val="0"/>
          <w:color w:val="3D3D3D"/>
          <w:spacing w:val="0"/>
          <w:sz w:val="32"/>
          <w:szCs w:val="32"/>
          <w:shd w:val="clear" w:fill="FFFFFF"/>
          <w:lang w:eastAsia="zh-CN"/>
        </w:rPr>
        <w:t>（</w:t>
      </w:r>
      <w:r>
        <w:rPr>
          <w:rFonts w:hint="eastAsia" w:ascii="楷体_GB2312" w:hAnsi="楷体_GB2312" w:eastAsia="楷体_GB2312" w:cs="楷体_GB2312"/>
          <w:b/>
          <w:bCs/>
          <w:i w:val="0"/>
          <w:iCs w:val="0"/>
          <w:caps w:val="0"/>
          <w:color w:val="3D3D3D"/>
          <w:spacing w:val="0"/>
          <w:sz w:val="32"/>
          <w:szCs w:val="32"/>
          <w:shd w:val="clear" w:fill="FFFFFF"/>
          <w:lang w:val="en-US" w:eastAsia="zh-CN"/>
        </w:rPr>
        <w:t>二</w:t>
      </w:r>
      <w:r>
        <w:rPr>
          <w:rFonts w:hint="eastAsia" w:ascii="楷体_GB2312" w:hAnsi="楷体_GB2312" w:eastAsia="楷体_GB2312" w:cs="楷体_GB2312"/>
          <w:b/>
          <w:bCs/>
          <w:i w:val="0"/>
          <w:iCs w:val="0"/>
          <w:caps w:val="0"/>
          <w:color w:val="3D3D3D"/>
          <w:spacing w:val="0"/>
          <w:sz w:val="32"/>
          <w:szCs w:val="32"/>
          <w:shd w:val="clear" w:fill="FFFFFF"/>
          <w:lang w:eastAsia="zh-CN"/>
        </w:rPr>
        <w:t>）</w:t>
      </w:r>
      <w:r>
        <w:rPr>
          <w:rFonts w:hint="eastAsia" w:ascii="楷体_GB2312" w:hAnsi="楷体_GB2312" w:eastAsia="楷体_GB2312" w:cs="楷体_GB2312"/>
          <w:b/>
          <w:bCs/>
          <w:i w:val="0"/>
          <w:iCs w:val="0"/>
          <w:caps w:val="0"/>
          <w:color w:val="auto"/>
          <w:spacing w:val="0"/>
          <w:kern w:val="2"/>
          <w:sz w:val="32"/>
          <w:szCs w:val="32"/>
          <w:shd w:val="clear" w:fill="FFFFFF"/>
          <w:lang w:val="en-US" w:eastAsia="zh-CN" w:bidi="ar-SA"/>
        </w:rPr>
        <w:t>认真开展政务公开宣传活动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auto"/>
          <w:sz w:val="32"/>
          <w:szCs w:val="32"/>
          <w:lang w:val="en-US" w:eastAsia="zh-CN"/>
        </w:rPr>
        <w:t>认真对待政务公开宣传活动，</w:t>
      </w:r>
      <w:r>
        <w:rPr>
          <w:rFonts w:hint="eastAsia" w:ascii="仿宋_GB2312" w:hAnsi="仿宋_GB2312" w:eastAsia="仿宋_GB2312" w:cs="仿宋_GB2312"/>
          <w:color w:val="auto"/>
          <w:sz w:val="32"/>
          <w:szCs w:val="32"/>
        </w:rPr>
        <w:t>配备</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名业务熟练、责任心强、工作能力突出的教育扶贫联络员，承担建档立卡学生信息摸排核实、政策宣传、结果告知、政策落实、沟通协调五项工作职责，</w:t>
      </w:r>
      <w:r>
        <w:rPr>
          <w:rFonts w:hint="eastAsia" w:ascii="仿宋_GB2312" w:hAnsi="仿宋_GB2312" w:eastAsia="仿宋_GB2312" w:cs="仿宋_GB2312"/>
          <w:color w:val="auto"/>
          <w:sz w:val="32"/>
          <w:szCs w:val="32"/>
          <w:lang w:val="en-US" w:eastAsia="zh-CN"/>
        </w:rPr>
        <w:t>巩固拓展教育脱贫攻坚成果同乡村振兴有效衔接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同时，</w:t>
      </w:r>
      <w:r>
        <w:rPr>
          <w:rFonts w:hint="eastAsia" w:ascii="仿宋_GB2312" w:hAnsi="仿宋_GB2312" w:eastAsia="仿宋_GB2312" w:cs="仿宋_GB2312"/>
          <w:color w:val="auto"/>
          <w:sz w:val="32"/>
          <w:szCs w:val="32"/>
        </w:rPr>
        <w:t>通过</w:t>
      </w:r>
      <w:r>
        <w:rPr>
          <w:rFonts w:hint="eastAsia" w:ascii="仿宋_GB2312" w:hAnsi="仿宋_GB2312" w:eastAsia="仿宋_GB2312" w:cs="仿宋_GB2312"/>
          <w:color w:val="auto"/>
          <w:sz w:val="32"/>
          <w:szCs w:val="32"/>
          <w:lang w:val="en-US" w:eastAsia="zh-CN"/>
        </w:rPr>
        <w:t>公示</w:t>
      </w:r>
      <w:r>
        <w:rPr>
          <w:rFonts w:hint="eastAsia" w:ascii="仿宋_GB2312" w:hAnsi="仿宋_GB2312" w:eastAsia="仿宋_GB2312" w:cs="仿宋_GB2312"/>
          <w:color w:val="auto"/>
          <w:sz w:val="32"/>
          <w:szCs w:val="32"/>
        </w:rPr>
        <w:t>、现场解答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咨询</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sz w:val="32"/>
          <w:szCs w:val="32"/>
          <w:lang w:val="en-US" w:eastAsia="zh-CN"/>
        </w:rPr>
        <w:t>放宣传手册</w:t>
      </w:r>
      <w:r>
        <w:rPr>
          <w:rFonts w:hint="eastAsia" w:ascii="仿宋_GB2312" w:hAnsi="仿宋_GB2312" w:eastAsia="仿宋_GB2312" w:cs="仿宋_GB2312"/>
          <w:sz w:val="32"/>
          <w:szCs w:val="32"/>
        </w:rPr>
        <w:t>等方式，完成了</w:t>
      </w:r>
      <w:r>
        <w:rPr>
          <w:rFonts w:hint="eastAsia" w:ascii="仿宋_GB2312" w:hAnsi="仿宋_GB2312" w:eastAsia="仿宋_GB2312" w:cs="仿宋_GB2312"/>
          <w:sz w:val="32"/>
          <w:szCs w:val="32"/>
          <w:lang w:val="en-US" w:eastAsia="zh-CN"/>
        </w:rPr>
        <w:t>各项</w:t>
      </w:r>
      <w:r>
        <w:rPr>
          <w:rFonts w:hint="eastAsia" w:ascii="仿宋_GB2312" w:hAnsi="仿宋_GB2312" w:eastAsia="仿宋_GB2312" w:cs="仿宋_GB2312"/>
          <w:sz w:val="32"/>
          <w:szCs w:val="32"/>
        </w:rPr>
        <w:t>宣传</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。局领导对</w:t>
      </w:r>
      <w:r>
        <w:rPr>
          <w:rFonts w:hint="eastAsia" w:ascii="仿宋_GB2312" w:hAnsi="仿宋_GB2312" w:eastAsia="仿宋_GB2312" w:cs="仿宋_GB2312"/>
          <w:sz w:val="32"/>
          <w:szCs w:val="32"/>
          <w:lang w:val="en-US" w:eastAsia="zh-CN"/>
        </w:rPr>
        <w:t>本年度</w:t>
      </w:r>
      <w:r>
        <w:rPr>
          <w:rFonts w:hint="eastAsia" w:ascii="仿宋_GB2312" w:hAnsi="仿宋_GB2312" w:eastAsia="仿宋_GB2312" w:cs="仿宋_GB2312"/>
          <w:sz w:val="32"/>
          <w:szCs w:val="32"/>
        </w:rPr>
        <w:t>教育重点工作、中考情况、高考政策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五项管理、双减、课后服务</w:t>
      </w:r>
      <w:r>
        <w:rPr>
          <w:rFonts w:hint="eastAsia" w:ascii="仿宋_GB2312" w:hAnsi="仿宋_GB2312" w:eastAsia="仿宋_GB2312" w:cs="仿宋_GB2312"/>
          <w:sz w:val="32"/>
          <w:szCs w:val="32"/>
        </w:rPr>
        <w:t>等进行详细解读，通过与民众进行亲切交流，让民众对关心的教育民生问题有更深入的了解。</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重视人大代表议案和政协委员提案的办理工作，承办的</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件人大议案和政协提案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办结率及代表委员对办理答复满意率均为100%。不断加大信息公开和引导力度，畅通反映渠道。</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0" w:type="dxa"/>
          <w:bottom w:w="0" w:type="dxa"/>
          <w:right w:w="0" w:type="dxa"/>
        </w:tblCellMar>
      </w:tblPr>
      <w:tblGrid>
        <w:gridCol w:w="1920"/>
        <w:gridCol w:w="1920"/>
        <w:gridCol w:w="1920"/>
        <w:gridCol w:w="328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9300" w:type="dxa"/>
            <w:gridSpan w:val="4"/>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                       第二十条第(一)项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信息内容</w:t>
            </w:r>
          </w:p>
        </w:tc>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本年制发件数</w:t>
            </w:r>
          </w:p>
        </w:tc>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本年废止件数</w:t>
            </w:r>
          </w:p>
        </w:tc>
        <w:tc>
          <w:tcPr>
            <w:tcW w:w="286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现行有效件数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规章</w:t>
            </w:r>
          </w:p>
        </w:tc>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286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行政规范性文件</w:t>
            </w:r>
          </w:p>
        </w:tc>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286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9300" w:type="dxa"/>
            <w:gridSpan w:val="4"/>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                                     第二十条第(五)项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信息内容</w:t>
            </w:r>
          </w:p>
        </w:tc>
        <w:tc>
          <w:tcPr>
            <w:tcW w:w="7155"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本年处理决定数量</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行政许可</w:t>
            </w:r>
          </w:p>
        </w:tc>
        <w:tc>
          <w:tcPr>
            <w:tcW w:w="7155"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9300" w:type="dxa"/>
            <w:gridSpan w:val="4"/>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                                    第二十条第(六)项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信息内容</w:t>
            </w:r>
          </w:p>
        </w:tc>
        <w:tc>
          <w:tcPr>
            <w:tcW w:w="7155"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本年处理决定数量</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行政处罚</w:t>
            </w:r>
          </w:p>
        </w:tc>
        <w:tc>
          <w:tcPr>
            <w:tcW w:w="7155"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行政强制</w:t>
            </w:r>
          </w:p>
        </w:tc>
        <w:tc>
          <w:tcPr>
            <w:tcW w:w="7795"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10255" w:type="dxa"/>
            <w:gridSpan w:val="4"/>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                                    第二十条第(八)项</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信息内容</w:t>
            </w:r>
          </w:p>
        </w:tc>
        <w:tc>
          <w:tcPr>
            <w:tcW w:w="7155"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本年收费金额(单位:万元)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90" w:hRule="atLeast"/>
          <w:jc w:val="center"/>
        </w:trPr>
        <w:tc>
          <w:tcPr>
            <w:tcW w:w="214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行政事业性收费</w:t>
            </w:r>
          </w:p>
        </w:tc>
        <w:tc>
          <w:tcPr>
            <w:tcW w:w="7155" w:type="dxa"/>
            <w:gridSpan w:val="3"/>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firstLine="1260" w:firstLineChars="60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ind w:left="0" w:right="0" w:firstLine="420"/>
        <w:jc w:val="left"/>
        <w:rPr>
          <w:rFonts w:hint="eastAsia" w:ascii="黑体" w:hAnsi="黑体" w:eastAsia="黑体" w:cs="黑体"/>
          <w:i w:val="0"/>
          <w:iCs w:val="0"/>
          <w:caps w:val="0"/>
          <w:color w:val="414141"/>
          <w:spacing w:val="0"/>
          <w:sz w:val="32"/>
          <w:szCs w:val="32"/>
        </w:rPr>
      </w:pPr>
      <w:r>
        <w:rPr>
          <w:rStyle w:val="7"/>
          <w:rFonts w:hint="eastAsia" w:ascii="黑体" w:hAnsi="黑体" w:eastAsia="黑体" w:cs="黑体"/>
          <w:i w:val="0"/>
          <w:iCs w:val="0"/>
          <w:caps w:val="0"/>
          <w:color w:val="414141"/>
          <w:spacing w:val="0"/>
          <w:sz w:val="32"/>
          <w:szCs w:val="32"/>
          <w:shd w:val="clear" w:color="auto" w:fill="FFFFFF"/>
        </w:rPr>
        <w:t>三、收到和处理政府信息公开申请情况</w:t>
      </w:r>
    </w:p>
    <w:tbl>
      <w:tblPr>
        <w:tblStyle w:val="5"/>
        <w:tblW w:w="9059" w:type="dxa"/>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0" w:type="dxa"/>
          <w:bottom w:w="0" w:type="dxa"/>
          <w:right w:w="0" w:type="dxa"/>
        </w:tblCellMar>
      </w:tblPr>
      <w:tblGrid>
        <w:gridCol w:w="916"/>
        <w:gridCol w:w="676"/>
        <w:gridCol w:w="3150"/>
        <w:gridCol w:w="583"/>
        <w:gridCol w:w="614"/>
        <w:gridCol w:w="612"/>
        <w:gridCol w:w="612"/>
        <w:gridCol w:w="612"/>
        <w:gridCol w:w="642"/>
        <w:gridCol w:w="64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4742" w:type="dxa"/>
            <w:gridSpan w:val="3"/>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(本列数据的勾稽关系为:第一项加第二项之和，等于第三项加第四项之和)</w:t>
            </w:r>
          </w:p>
        </w:tc>
        <w:tc>
          <w:tcPr>
            <w:tcW w:w="4317" w:type="dxa"/>
            <w:gridSpan w:val="7"/>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             申请人情况</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4742" w:type="dxa"/>
            <w:gridSpan w:val="3"/>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583"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自然人</w:t>
            </w:r>
          </w:p>
        </w:tc>
        <w:tc>
          <w:tcPr>
            <w:tcW w:w="3092" w:type="dxa"/>
            <w:gridSpan w:val="5"/>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       法人或其他组织</w:t>
            </w:r>
          </w:p>
        </w:tc>
        <w:tc>
          <w:tcPr>
            <w:tcW w:w="642"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总计</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159" w:hRule="atLeast"/>
          <w:jc w:val="center"/>
        </w:trPr>
        <w:tc>
          <w:tcPr>
            <w:tcW w:w="4742" w:type="dxa"/>
            <w:gridSpan w:val="3"/>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583"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商业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企业</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科研</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机构</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社会公益组织</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法律服务机构</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其他</w:t>
            </w:r>
          </w:p>
        </w:tc>
        <w:tc>
          <w:tcPr>
            <w:tcW w:w="642"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4742"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一、本年新收政府信息公开申请数量</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eastAsiaTheme="minorEastAsia"/>
                <w:lang w:val="en-US" w:eastAsia="zh-CN"/>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eastAsiaTheme="minorEastAsia"/>
                <w:lang w:val="en-US" w:eastAsia="zh-CN"/>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eastAsiaTheme="minorEastAsia"/>
                <w:lang w:val="en-US" w:eastAsia="zh-CN"/>
              </w:rPr>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eastAsiaTheme="minorEastAsia"/>
                <w:lang w:val="en-US" w:eastAsia="zh-CN"/>
              </w:rPr>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eastAsiaTheme="minorEastAsia"/>
                <w:lang w:val="en-US" w:eastAsia="zh-CN"/>
              </w:rPr>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4742"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二、上年结转政府信息公开申请数量</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三、本年度办理结果</w:t>
            </w:r>
          </w:p>
        </w:tc>
        <w:tc>
          <w:tcPr>
            <w:tcW w:w="3826" w:type="dxa"/>
            <w:gridSpan w:val="2"/>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(一)予以公开</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856"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826" w:type="dxa"/>
            <w:gridSpan w:val="2"/>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(二)部分公开(区分处理的，只计这一情形，不计其他情形)</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(三)不予公开</w:t>
            </w: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1.属于国家秘密</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856"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2.其他法律行政法规禁止公开</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3.危及“三安全一稳定”</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4.保护第三方合法权益</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5.属于三类内部事务信息</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6.属于四类过程性信息</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7.属于行政执法案卷</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8.属于行政查询事项</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319"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tc>
        <w:tc>
          <w:tcPr>
            <w:tcW w:w="676"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lang w:eastAsia="zh-CN"/>
              </w:rPr>
              <w:t>（</w:t>
            </w:r>
            <w:r>
              <w:rPr>
                <w:rFonts w:hint="eastAsia" w:ascii="仿宋_GB2312" w:hAnsi="仿宋_GB2312" w:eastAsia="仿宋_GB2312" w:cs="仿宋_GB2312"/>
              </w:rPr>
              <w:t>四)无法提供</w:t>
            </w: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right="0"/>
              <w:jc w:val="left"/>
              <w:rPr>
                <w:rFonts w:hint="eastAsia" w:ascii="仿宋_GB2312" w:hAnsi="仿宋_GB2312" w:eastAsia="仿宋_GB2312" w:cs="仿宋_GB2312"/>
              </w:rPr>
            </w:pPr>
            <w:r>
              <w:rPr>
                <w:rFonts w:hint="eastAsia" w:ascii="仿宋_GB2312" w:hAnsi="仿宋_GB2312" w:eastAsia="仿宋_GB2312" w:cs="仿宋_GB2312"/>
              </w:rPr>
              <w:t>1.本机关不掌握相关政府信息</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ascii="仿宋_GB2312" w:hAnsi="仿宋_GB2312" w:eastAsia="仿宋_GB2312" w:cs="仿宋_GB2312"/>
              </w:rPr>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31"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2.没有现成信息需要另行制作</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3.补正后申请内容仍不明确</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(五)不予处理</w:t>
            </w: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1.信访举报投诉类申请</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2.重复申请</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3.要求提供公开出版物</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4.无正当理由大量反复申请</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856"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5.要求行政机关确认或重新出具已获取信息</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834"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(六)其他处理</w:t>
            </w:r>
          </w:p>
        </w:tc>
        <w:tc>
          <w:tcPr>
            <w:tcW w:w="315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1.申请人无正当理由逾期不补正、行政机关不再处理其政府信息公开申请</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1160"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2.申请人逾期未按收费通知要求缴纳费用、行政机关不再处理其政府信息公开申请</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5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15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3.其他</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292" w:hRule="atLeast"/>
          <w:jc w:val="center"/>
        </w:trPr>
        <w:tc>
          <w:tcPr>
            <w:tcW w:w="916"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3826" w:type="dxa"/>
            <w:gridSpan w:val="2"/>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(七)总计</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72" w:hRule="atLeast"/>
          <w:jc w:val="center"/>
        </w:trPr>
        <w:tc>
          <w:tcPr>
            <w:tcW w:w="4742" w:type="dxa"/>
            <w:gridSpan w:val="3"/>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四、结转下年度继续办理</w:t>
            </w:r>
          </w:p>
        </w:tc>
        <w:tc>
          <w:tcPr>
            <w:tcW w:w="583"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4"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1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42"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40" w:afterAutospacing="0"/>
        <w:ind w:left="0" w:right="0" w:firstLine="420"/>
        <w:jc w:val="left"/>
        <w:rPr>
          <w:rFonts w:hint="eastAsia" w:ascii="黑体" w:hAnsi="黑体" w:eastAsia="黑体" w:cs="黑体"/>
          <w:i w:val="0"/>
          <w:iCs w:val="0"/>
          <w:caps w:val="0"/>
          <w:color w:val="414141"/>
          <w:spacing w:val="0"/>
          <w:sz w:val="32"/>
          <w:szCs w:val="32"/>
        </w:rPr>
      </w:pPr>
      <w:r>
        <w:rPr>
          <w:rStyle w:val="7"/>
          <w:rFonts w:hint="eastAsia" w:ascii="黑体" w:hAnsi="黑体" w:eastAsia="黑体" w:cs="黑体"/>
          <w:i w:val="0"/>
          <w:iCs w:val="0"/>
          <w:caps w:val="0"/>
          <w:color w:val="414141"/>
          <w:spacing w:val="0"/>
          <w:sz w:val="32"/>
          <w:szCs w:val="32"/>
          <w:shd w:val="clear" w:color="auto" w:fill="FFFFFF"/>
        </w:rPr>
        <w:t>四、政府信息公开行政复议、行政诉讼情况</w:t>
      </w:r>
    </w:p>
    <w:tbl>
      <w:tblPr>
        <w:tblStyle w:val="5"/>
        <w:tblW w:w="0" w:type="auto"/>
        <w:jc w:val="center"/>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0" w:type="dxa"/>
          <w:bottom w:w="0" w:type="dxa"/>
          <w:right w:w="0" w:type="dxa"/>
        </w:tblCellMar>
      </w:tblPr>
      <w:tblGrid>
        <w:gridCol w:w="616"/>
        <w:gridCol w:w="605"/>
        <w:gridCol w:w="606"/>
        <w:gridCol w:w="606"/>
        <w:gridCol w:w="556"/>
        <w:gridCol w:w="601"/>
        <w:gridCol w:w="601"/>
        <w:gridCol w:w="601"/>
        <w:gridCol w:w="601"/>
        <w:gridCol w:w="606"/>
        <w:gridCol w:w="601"/>
        <w:gridCol w:w="601"/>
        <w:gridCol w:w="601"/>
        <w:gridCol w:w="601"/>
        <w:gridCol w:w="617"/>
        <w:gridCol w:w="22"/>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517" w:hRule="atLeast"/>
          <w:jc w:val="center"/>
        </w:trPr>
        <w:tc>
          <w:tcPr>
            <w:tcW w:w="3345" w:type="dxa"/>
            <w:gridSpan w:val="5"/>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    行政复议</w:t>
            </w:r>
          </w:p>
        </w:tc>
        <w:tc>
          <w:tcPr>
            <w:tcW w:w="6810" w:type="dxa"/>
            <w:gridSpan w:val="11"/>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                     行政诉讼</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667" w:hRule="atLeast"/>
          <w:jc w:val="center"/>
        </w:trPr>
        <w:tc>
          <w:tcPr>
            <w:tcW w:w="720"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结果维持</w:t>
            </w:r>
          </w:p>
        </w:tc>
        <w:tc>
          <w:tcPr>
            <w:tcW w:w="690"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结果纠正</w:t>
            </w:r>
          </w:p>
        </w:tc>
        <w:tc>
          <w:tcPr>
            <w:tcW w:w="690"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其他结果</w:t>
            </w:r>
          </w:p>
        </w:tc>
        <w:tc>
          <w:tcPr>
            <w:tcW w:w="690"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尚未审结</w:t>
            </w:r>
          </w:p>
        </w:tc>
        <w:tc>
          <w:tcPr>
            <w:tcW w:w="540" w:type="dxa"/>
            <w:vMerge w:val="restart"/>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总计</w:t>
            </w:r>
          </w:p>
        </w:tc>
        <w:tc>
          <w:tcPr>
            <w:tcW w:w="3390" w:type="dxa"/>
            <w:gridSpan w:val="5"/>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  未经复议直接起诉</w:t>
            </w:r>
          </w:p>
        </w:tc>
        <w:tc>
          <w:tcPr>
            <w:tcW w:w="3420" w:type="dxa"/>
            <w:gridSpan w:val="6"/>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420"/>
              <w:jc w:val="left"/>
              <w:rPr>
                <w:rFonts w:hint="eastAsia" w:ascii="仿宋_GB2312" w:hAnsi="仿宋_GB2312" w:eastAsia="仿宋_GB2312" w:cs="仿宋_GB2312"/>
              </w:rPr>
            </w:pPr>
            <w:r>
              <w:rPr>
                <w:rFonts w:hint="eastAsia" w:ascii="仿宋_GB2312" w:hAnsi="仿宋_GB2312" w:eastAsia="仿宋_GB2312" w:cs="仿宋_GB2312"/>
              </w:rPr>
              <w:t>        复议后起诉</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420" w:hRule="atLeast"/>
          <w:jc w:val="center"/>
        </w:trPr>
        <w:tc>
          <w:tcPr>
            <w:tcW w:w="72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9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9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9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540" w:type="dxa"/>
            <w:vMerge w:val="continue"/>
            <w:tcBorders>
              <w:top w:val="single" w:color="auto" w:sz="6" w:space="0"/>
              <w:left w:val="single" w:color="auto" w:sz="6" w:space="0"/>
              <w:bottom w:val="single" w:color="auto" w:sz="6" w:space="0"/>
              <w:right w:val="single" w:color="auto" w:sz="6" w:space="0"/>
            </w:tcBorders>
            <w:noWrap w:val="0"/>
            <w:vAlign w:val="center"/>
          </w:tcPr>
          <w:p>
            <w:pPr>
              <w:rPr>
                <w:rFonts w:hint="eastAsia" w:ascii="仿宋_GB2312" w:hAnsi="仿宋_GB2312" w:eastAsia="仿宋_GB2312" w:cs="仿宋_GB2312"/>
                <w:sz w:val="24"/>
                <w:szCs w:val="24"/>
              </w:rPr>
            </w:pP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结果维持</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结果纠正</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其他结果</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尚未审结</w:t>
            </w:r>
          </w:p>
        </w:tc>
        <w:tc>
          <w:tcPr>
            <w:tcW w:w="69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总计</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结果维持</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结果纠正</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其他结果</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尚未审结</w:t>
            </w:r>
          </w:p>
        </w:tc>
        <w:tc>
          <w:tcPr>
            <w:tcW w:w="72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240" w:afterAutospacing="0"/>
              <w:ind w:left="0" w:right="0" w:firstLine="0"/>
              <w:jc w:val="left"/>
              <w:rPr>
                <w:rFonts w:hint="eastAsia" w:ascii="仿宋_GB2312" w:hAnsi="仿宋_GB2312" w:eastAsia="仿宋_GB2312" w:cs="仿宋_GB2312"/>
              </w:rPr>
            </w:pPr>
            <w:r>
              <w:rPr>
                <w:rFonts w:hint="eastAsia" w:ascii="仿宋_GB2312" w:hAnsi="仿宋_GB2312" w:eastAsia="仿宋_GB2312" w:cs="仿宋_GB2312"/>
              </w:rPr>
              <w:t>总计</w:t>
            </w:r>
          </w:p>
        </w:tc>
        <w:tc>
          <w:tcPr>
            <w:tcW w:w="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0" w:type="dxa"/>
            <w:bottom w:w="0" w:type="dxa"/>
            <w:right w:w="0" w:type="dxa"/>
          </w:tblCellMar>
        </w:tblPrEx>
        <w:trPr>
          <w:trHeight w:val="975" w:hRule="atLeast"/>
          <w:jc w:val="center"/>
        </w:trPr>
        <w:tc>
          <w:tcPr>
            <w:tcW w:w="72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eastAsiaTheme="minorEastAsia"/>
                <w:lang w:val="en-US" w:eastAsia="zh-CN"/>
              </w:rPr>
            </w:pPr>
            <w:r>
              <w:rPr>
                <w:rFonts w:hint="eastAsia" w:ascii="仿宋_GB2312" w:hAnsi="仿宋_GB2312" w:eastAsia="仿宋_GB2312" w:cs="仿宋_GB2312"/>
                <w:lang w:val="en-US" w:eastAsia="zh-CN"/>
              </w:rPr>
              <w:t>0</w:t>
            </w:r>
          </w:p>
        </w:tc>
        <w:tc>
          <w:tcPr>
            <w:tcW w:w="69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rPr>
                <w:rFonts w:hint="eastAsia" w:eastAsiaTheme="minorEastAsia"/>
                <w:lang w:val="en-US" w:eastAsia="zh-CN"/>
              </w:rPr>
            </w:pPr>
            <w:r>
              <w:rPr>
                <w:rFonts w:hint="eastAsia" w:ascii="仿宋_GB2312" w:hAnsi="仿宋_GB2312" w:eastAsia="仿宋_GB2312" w:cs="仿宋_GB2312"/>
                <w:lang w:val="en-US" w:eastAsia="zh-CN"/>
              </w:rPr>
              <w:t>0</w:t>
            </w:r>
          </w:p>
        </w:tc>
        <w:tc>
          <w:tcPr>
            <w:tcW w:w="69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9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54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9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75"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720" w:type="dxa"/>
            <w:tcBorders>
              <w:top w:val="single" w:color="auto" w:sz="6" w:space="0"/>
              <w:left w:val="single" w:color="auto" w:sz="6" w:space="0"/>
              <w:bottom w:val="single" w:color="auto" w:sz="6" w:space="0"/>
              <w:right w:val="single" w:color="auto" w:sz="6" w:space="0"/>
            </w:tcBorders>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leftChars="0" w:right="0" w:rightChars="0" w:firstLine="420" w:firstLineChars="0"/>
              <w:jc w:val="left"/>
            </w:pPr>
            <w:r>
              <w:rPr>
                <w:rFonts w:hint="eastAsia" w:ascii="仿宋_GB2312" w:hAnsi="仿宋_GB2312" w:eastAsia="仿宋_GB2312" w:cs="仿宋_GB2312"/>
                <w:lang w:val="en-US" w:eastAsia="zh-CN"/>
              </w:rPr>
              <w:t>0</w:t>
            </w:r>
          </w:p>
        </w:tc>
        <w:tc>
          <w:tcPr>
            <w:tcW w:w="6" w:type="dxa"/>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spacing w:before="0" w:beforeAutospacing="0" w:after="0" w:afterAutospacing="0"/>
              <w:ind w:left="0" w:right="0"/>
              <w:jc w:val="left"/>
            </w:pPr>
          </w:p>
        </w:tc>
      </w:tr>
    </w:tbl>
    <w:p>
      <w:pPr>
        <w:rPr>
          <w:rFonts w:hint="eastAsia"/>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五、存在问题及改进措施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（一）主要问题</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2021年我局在政府信息公开工作方面存在以下问题：</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信息公开的内容有待进一步充实，工作人员对于信息公开范围的界定标准把握不是很准确，致使部分信息公开存在不全、不快、不新的现象。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信息公开质量需要进一步提高。目前信息公开存在着公文类信息多，解读性信息少；静态性信息多，有分析、有情况、有建议的信息少的情况。</w:t>
      </w:r>
    </w:p>
    <w:p>
      <w:pPr>
        <w:keepNext w:val="0"/>
        <w:keepLines w:val="0"/>
        <w:pageBreakBefore w:val="0"/>
        <w:widowControl w:val="0"/>
        <w:kinsoku/>
        <w:wordWrap/>
        <w:overflowPunct/>
        <w:topLinePunct w:val="0"/>
        <w:autoSpaceDE/>
        <w:autoSpaceDN/>
        <w:bidi w:val="0"/>
        <w:spacing w:line="56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（二）改进措施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1.狠抓学习培训，加强业务学习和检查考核工作。促进全系统政府信息公开工作更加规范、高效运作，更好地为教育发展和人民群众服务。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2.立足社会需求，加强政府信息公开力度。认真做好教育改革、招生就业、学籍管理、资助政策等涉及人民群众切身利益和社会普遍关注的教育信息公开内容。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3.围绕信息渠道，加</w:t>
      </w:r>
      <w:bookmarkStart w:id="0" w:name="_GoBack"/>
      <w:bookmarkEnd w:id="0"/>
      <w:r>
        <w:rPr>
          <w:rFonts w:hint="eastAsia" w:ascii="仿宋_GB2312" w:hAnsi="仿宋_GB2312" w:eastAsia="仿宋_GB2312" w:cs="仿宋_GB2312"/>
          <w:sz w:val="32"/>
          <w:szCs w:val="32"/>
        </w:rPr>
        <w:t>强信息公开载体建设。加强新闻媒体宣传，提高信息公开的知晓率和参与度。</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textAlignment w:val="auto"/>
        <w:rPr>
          <w:rFonts w:hint="eastAsia" w:ascii="仿宋_GB2312" w:hAnsi="仿宋_GB2312" w:eastAsia="仿宋_GB2312" w:cs="仿宋_GB2312"/>
          <w:sz w:val="32"/>
          <w:szCs w:val="32"/>
        </w:rPr>
      </w:pPr>
      <w:r>
        <w:rPr>
          <w:rFonts w:hint="eastAsia" w:ascii="微软雅黑" w:hAnsi="微软雅黑" w:eastAsia="微软雅黑" w:cs="微软雅黑"/>
          <w:i w:val="0"/>
          <w:iCs w:val="0"/>
          <w:caps w:val="0"/>
          <w:color w:val="3D3D3D"/>
          <w:spacing w:val="0"/>
          <w:sz w:val="24"/>
          <w:szCs w:val="24"/>
          <w:shd w:val="clear" w:fill="FFFFFF"/>
        </w:rPr>
        <w:t> </w:t>
      </w:r>
      <w:r>
        <w:rPr>
          <w:rFonts w:hint="eastAsia" w:ascii="仿宋_GB2312" w:hAnsi="仿宋_GB2312" w:eastAsia="仿宋_GB2312" w:cs="仿宋_GB2312"/>
          <w:b w:val="0"/>
          <w:bCs/>
          <w:sz w:val="32"/>
          <w:szCs w:val="32"/>
          <w:lang w:val="en-US" w:eastAsia="zh-CN"/>
        </w:rPr>
        <w:t>2021年度暂无其他需要报告的事项</w:t>
      </w:r>
    </w:p>
    <w:p>
      <w:pPr>
        <w:keepNext w:val="0"/>
        <w:keepLines w:val="0"/>
        <w:pageBreakBefore w:val="0"/>
        <w:widowControl w:val="0"/>
        <w:kinsoku/>
        <w:wordWrap/>
        <w:overflowPunct/>
        <w:topLinePunct w:val="0"/>
        <w:autoSpaceDE/>
        <w:autoSpaceDN/>
        <w:bidi w:val="0"/>
        <w:spacing w:line="560" w:lineRule="exact"/>
        <w:ind w:firstLine="5760" w:firstLineChars="180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rPr>
      </w:pPr>
    </w:p>
    <w:p>
      <w:pPr>
        <w:keepNext w:val="0"/>
        <w:keepLines w:val="0"/>
        <w:pageBreakBefore w:val="0"/>
        <w:widowControl w:val="0"/>
        <w:kinsoku/>
        <w:wordWrap/>
        <w:overflowPunct/>
        <w:topLinePunct w:val="0"/>
        <w:autoSpaceDE/>
        <w:autoSpaceDN/>
        <w:bidi w:val="0"/>
        <w:spacing w:line="560" w:lineRule="exact"/>
        <w:ind w:firstLine="5760" w:firstLineChars="1800"/>
        <w:textAlignment w:val="auto"/>
        <w:rPr>
          <w:rFonts w:hint="eastAsia" w:ascii="仿宋_GB2312" w:hAnsi="宋体" w:eastAsia="仿宋_GB2312"/>
          <w:sz w:val="32"/>
          <w:szCs w:val="32"/>
        </w:rPr>
      </w:pPr>
      <w:r>
        <w:rPr>
          <w:rFonts w:hint="eastAsia" w:ascii="仿宋_GB2312" w:hAnsi="仿宋_GB2312" w:eastAsia="仿宋_GB2312" w:cs="仿宋_GB2312"/>
          <w:sz w:val="32"/>
          <w:szCs w:val="32"/>
        </w:rPr>
        <w:t>刚</w:t>
      </w:r>
      <w:r>
        <w:rPr>
          <w:rFonts w:hint="eastAsia" w:ascii="仿宋_GB2312" w:hAnsi="宋体" w:eastAsia="仿宋_GB2312"/>
          <w:sz w:val="32"/>
          <w:szCs w:val="32"/>
        </w:rPr>
        <w:t>察县教育局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w:t>
      </w:r>
      <w:r>
        <w:rPr>
          <w:rFonts w:hint="eastAsia" w:ascii="仿宋_GB2312" w:hAnsi="宋体" w:eastAsia="仿宋_GB2312"/>
          <w:sz w:val="32"/>
          <w:szCs w:val="32"/>
          <w:lang w:val="en-US" w:eastAsia="zh-CN"/>
        </w:rPr>
        <w:t>22</w:t>
      </w:r>
      <w:r>
        <w:rPr>
          <w:rFonts w:hint="eastAsia" w:ascii="仿宋_GB2312" w:hAnsi="宋体" w:eastAsia="仿宋_GB2312"/>
          <w:sz w:val="32"/>
          <w:szCs w:val="32"/>
        </w:rPr>
        <w:t>年</w:t>
      </w:r>
      <w:r>
        <w:rPr>
          <w:rFonts w:hint="eastAsia" w:ascii="仿宋_GB2312" w:hAnsi="宋体" w:eastAsia="仿宋_GB2312"/>
          <w:sz w:val="32"/>
          <w:szCs w:val="32"/>
          <w:lang w:val="en-US" w:eastAsia="zh-CN"/>
        </w:rPr>
        <w:t>1</w:t>
      </w:r>
      <w:r>
        <w:rPr>
          <w:rFonts w:hint="eastAsia" w:ascii="仿宋_GB2312" w:hAnsi="宋体" w:eastAsia="仿宋_GB2312"/>
          <w:sz w:val="32"/>
          <w:szCs w:val="32"/>
        </w:rPr>
        <w:t>月</w:t>
      </w:r>
      <w:r>
        <w:rPr>
          <w:rFonts w:hint="eastAsia" w:ascii="仿宋_GB2312" w:hAnsi="宋体" w:eastAsia="仿宋_GB2312"/>
          <w:sz w:val="32"/>
          <w:szCs w:val="32"/>
          <w:lang w:val="en-US" w:eastAsia="zh-CN"/>
        </w:rPr>
        <w:t>19</w:t>
      </w:r>
      <w:r>
        <w:rPr>
          <w:rFonts w:hint="eastAsia" w:ascii="仿宋_GB2312" w:hAnsi="宋体" w:eastAsia="仿宋_GB2312"/>
          <w:sz w:val="32"/>
          <w:szCs w:val="32"/>
        </w:rPr>
        <w:t>日</w:t>
      </w: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spacing w:line="520" w:lineRule="exact"/>
        <w:rPr>
          <w:rFonts w:hint="default"/>
          <w:lang w:val="en-US" w:eastAsia="zh-CN"/>
        </w:rPr>
      </w:pPr>
      <w:r>
        <w:rPr>
          <w:rFonts w:hint="eastAsia" w:ascii="仿宋_GB2312" w:hAnsi="仿宋_GB2312" w:eastAsia="仿宋_GB2312" w:cs="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45720</wp:posOffset>
                </wp:positionH>
                <wp:positionV relativeFrom="paragraph">
                  <wp:posOffset>281305</wp:posOffset>
                </wp:positionV>
                <wp:extent cx="5757545" cy="10160"/>
                <wp:effectExtent l="0" t="6350" r="14605" b="12065"/>
                <wp:wrapNone/>
                <wp:docPr id="3" name="直接连接符 3"/>
                <wp:cNvGraphicFramePr/>
                <a:graphic xmlns:a="http://schemas.openxmlformats.org/drawingml/2006/main">
                  <a:graphicData uri="http://schemas.microsoft.com/office/word/2010/wordprocessingShape">
                    <wps:wsp>
                      <wps:cNvCnPr/>
                      <wps:spPr>
                        <a:xfrm flipV="1">
                          <a:off x="0" y="0"/>
                          <a:ext cx="5757545" cy="10160"/>
                        </a:xfrm>
                        <a:prstGeom prst="line">
                          <a:avLst/>
                        </a:prstGeom>
                        <a:ln w="12573"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6pt;margin-top:22.15pt;height:0.8pt;width:453.35pt;z-index:251660288;mso-width-relative:page;mso-height-relative:page;" filled="f" stroked="t" coordsize="21600,21600" o:gfxdata="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r+tNUAAAAHAQAADwAAAAAAAAABACAAAAAiAAAAZHJzL2Rvd25y&#10;ZXYueG1sUEsBAhQAFAAAAAgAh07iQL3ut/ABAgAA8wMAAA4AAAAAAAAAAQAgAAAAJAEAAGRycy9l&#10;Mm9Eb2MueG1sUEsFBgAAAAAGAAYAWQEAAJcFAAAAAA==&#10;">
                <v:fill on="f" focussize="0,0"/>
                <v:stroke weight="0.99pt" color="#000000" joinstyle="round"/>
                <v:imagedata o:title=""/>
                <o:lock v:ext="edit" aspectratio="f"/>
              </v:line>
            </w:pict>
          </mc:Fallback>
        </mc:AlternateContent>
      </w:r>
    </w:p>
    <w:p>
      <w:pPr>
        <w:spacing w:line="600" w:lineRule="exact"/>
        <w:ind w:firstLine="320" w:firstLineChars="100"/>
        <w:rPr>
          <w:rFonts w:hint="eastAsia" w:ascii="仿宋_GB2312" w:hAnsi="仿宋_GB2312" w:eastAsia="宋体" w:cs="仿宋_GB2312"/>
          <w:sz w:val="28"/>
          <w:szCs w:val="28"/>
          <w:lang w:eastAsia="zh-CN"/>
        </w:rPr>
        <w:sectPr>
          <w:headerReference r:id="rId3" w:type="default"/>
          <w:footerReference r:id="rId4" w:type="default"/>
          <w:pgSz w:w="11906" w:h="16838"/>
          <w:pgMar w:top="1800" w:right="1440" w:bottom="1800" w:left="1440" w:header="720" w:footer="720" w:gutter="0"/>
          <w:pgBorders w:offsetFrom="page">
            <w:top w:val="none" w:sz="0" w:space="0"/>
            <w:left w:val="none" w:sz="0" w:space="0"/>
            <w:bottom w:val="none" w:sz="0" w:space="0"/>
            <w:right w:val="none" w:sz="0" w:space="0"/>
          </w:pgBorders>
          <w:pgNumType w:fmt="numberInDash" w:start="1"/>
          <w:cols w:space="720" w:num="1"/>
          <w:docGrid w:type="linesAndChars" w:linePitch="312" w:charSpace="0"/>
        </w:sectPr>
      </w:pPr>
      <w:r>
        <w:rPr>
          <w:rFonts w:hint="eastAsia" w:ascii="仿宋_GB2312" w:hAnsi="仿宋_GB2312" w:eastAsia="仿宋_GB2312" w:cs="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393700</wp:posOffset>
                </wp:positionV>
                <wp:extent cx="5757545" cy="10160"/>
                <wp:effectExtent l="0" t="6350" r="14605" b="12065"/>
                <wp:wrapNone/>
                <wp:docPr id="1" name="直接连接符 1"/>
                <wp:cNvGraphicFramePr/>
                <a:graphic xmlns:a="http://schemas.openxmlformats.org/drawingml/2006/main">
                  <a:graphicData uri="http://schemas.microsoft.com/office/word/2010/wordprocessingShape">
                    <wps:wsp>
                      <wps:cNvCnPr/>
                      <wps:spPr>
                        <a:xfrm flipV="1">
                          <a:off x="0" y="0"/>
                          <a:ext cx="5757545" cy="10160"/>
                        </a:xfrm>
                        <a:prstGeom prst="line">
                          <a:avLst/>
                        </a:prstGeom>
                        <a:ln w="12599"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31pt;height:0.8pt;width:453.35pt;z-index:251659264;mso-width-relative:page;mso-height-relative:page;" filled="f" stroked="t" coordsize="21600,21600" o:gfxdata="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u4mQ7UAAAABgEAAA8AAAAAAAAAAQAgAAAAIgAAAGRycy9kb3ducmV2&#10;LnhtbFBLAQIUABQAAAAIAIdO4kBW6aoOAAIAAPMDAAAOAAAAAAAAAAEAIAAAACMBAABkcnMvZTJv&#10;RG9jLnhtbFBLBQYAAAAABgAGAFkBAACVBQAAAAA=&#10;">
                <v:fill on="f" focussize="0,0"/>
                <v:stroke weight="0.992047244094488pt" color="#000000" joinstyle="round"/>
                <v:imagedata o:title=""/>
                <o:lock v:ext="edit" aspectratio="f"/>
              </v:line>
            </w:pict>
          </mc:Fallback>
        </mc:AlternateContent>
      </w:r>
      <w:r>
        <w:rPr>
          <w:rFonts w:hint="eastAsia" w:ascii="仿宋_GB2312" w:hAnsi="仿宋_GB2312" w:eastAsia="仿宋_GB2312" w:cs="仿宋_GB2312"/>
          <w:sz w:val="32"/>
          <w:szCs w:val="32"/>
        </w:rPr>
        <w:t>刚察县教育局</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F08AF"/>
    <w:multiLevelType w:val="singleLevel"/>
    <w:tmpl w:val="828F08AF"/>
    <w:lvl w:ilvl="0" w:tentative="0">
      <w:start w:val="2"/>
      <w:numFmt w:val="chineseCounting"/>
      <w:suff w:val="nothing"/>
      <w:lvlText w:val="%1、"/>
      <w:lvlJc w:val="left"/>
      <w:rPr>
        <w:rFonts w:hint="eastAsia"/>
      </w:rPr>
    </w:lvl>
  </w:abstractNum>
  <w:abstractNum w:abstractNumId="1">
    <w:nsid w:val="1814C847"/>
    <w:multiLevelType w:val="singleLevel"/>
    <w:tmpl w:val="1814C847"/>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A12EC3"/>
    <w:rsid w:val="0E4061A6"/>
    <w:rsid w:val="11E02A5D"/>
    <w:rsid w:val="22E449E3"/>
    <w:rsid w:val="267C5C37"/>
    <w:rsid w:val="296B6907"/>
    <w:rsid w:val="29A12EC3"/>
    <w:rsid w:val="3608185C"/>
    <w:rsid w:val="3ADD1A9A"/>
    <w:rsid w:val="3F835A12"/>
    <w:rsid w:val="50751337"/>
    <w:rsid w:val="52C97495"/>
    <w:rsid w:val="5762434B"/>
    <w:rsid w:val="74526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character" w:styleId="7">
    <w:name w:val="Strong"/>
    <w:basedOn w:val="6"/>
    <w:qFormat/>
    <w:uiPriority w:val="0"/>
    <w:rPr>
      <w:rFonts w:ascii="Times New Roman" w:hAnsi="Times New Roman" w:eastAsia="宋体" w:cs="Times New Roman"/>
      <w:b/>
      <w:bCs/>
    </w:rPr>
  </w:style>
  <w:style w:type="paragraph" w:customStyle="1" w:styleId="8">
    <w:name w:val="Char Char Char Char Char Char Char 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2022-01-18T07:04:00Z</dcterms:created>
  <dc:creator>JoKer・°</dc:creator>
  <cp:lastModifiedBy>JoKer・°</cp:lastModifiedBy>
  <cp:lastPrinted>2022-01-19T08:30:32Z</cp:lastPrinted>
  <dcterms:modified xsi:type="dcterms:W3CDTF">2022-01-19T08:52:37Z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DBAC3AC12D5C4381909B3A00CC70AB20</vt:lpwstr>
  </property>
</Properties>
</file>