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             </w:t>
      </w:r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32"/>
        </w:rPr>
      </w:pPr>
    </w:p>
    <w:p>
      <w:pPr>
        <w:ind w:firstLine="1920" w:firstLineChars="600"/>
        <w:rPr>
          <w:rFonts w:ascii="仿宋_GB2312" w:eastAsia="仿宋_GB2312" w:hint="eastAsia"/>
          <w:sz w:val="32"/>
        </w:rPr>
      </w:pPr>
      <w:bookmarkStart w:id="0" w:name="_GoBack"/>
      <w:bookmarkEnd w:id="0"/>
    </w:p>
    <w:p>
      <w:pPr>
        <w:rPr>
          <w:rFonts w:ascii="仿宋_GB2312" w:eastAsia="仿宋_GB2312" w:hint="eastAsia"/>
          <w:sz w:val="32"/>
        </w:rPr>
      </w:pPr>
    </w:p>
    <w:p>
      <w:pPr>
        <w:rPr>
          <w:rFonts w:ascii="仿宋_GB2312" w:eastAsia="仿宋_GB2312" w:hint="eastAsia"/>
          <w:sz w:val="11"/>
          <w:szCs w:val="11"/>
        </w:rPr>
      </w:pPr>
    </w:p>
    <w:p>
      <w:pPr>
        <w:spacing w:line="600" w:lineRule="exact"/>
        <w:ind w:firstLine="160" w:firstLineChars="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刚文体广旅发〔20</w:t>
      </w:r>
      <w:r>
        <w:rPr>
          <w:rFonts w:ascii="仿宋" w:eastAsia="仿宋" w:hAnsi="仿宋" w:hint="eastAsia"/>
          <w:sz w:val="32"/>
          <w:lang w:val="en-US" w:eastAsia="zh-CN"/>
        </w:rPr>
        <w:t xml:space="preserve">22</w:t>
      </w:r>
      <w:r>
        <w:rPr>
          <w:rFonts w:ascii="仿宋" w:eastAsia="仿宋" w:hAnsi="仿宋" w:hint="eastAsia"/>
          <w:sz w:val="32"/>
        </w:rPr>
        <w:t xml:space="preserve">〕</w:t>
      </w:r>
      <w:r>
        <w:rPr>
          <w:rFonts w:ascii="仿宋" w:eastAsia="仿宋" w:hAnsi="仿宋" w:hint="eastAsia"/>
          <w:sz w:val="32"/>
          <w:lang w:val="en-US" w:eastAsia="zh-CN"/>
        </w:rPr>
        <w:t xml:space="preserve">4</w:t>
      </w:r>
      <w:r>
        <w:rPr>
          <w:rFonts w:ascii="仿宋" w:eastAsia="仿宋" w:hAnsi="仿宋" w:hint="eastAsia"/>
          <w:sz w:val="32"/>
        </w:rPr>
        <w:t xml:space="preserve">号            </w:t>
      </w:r>
      <w:r>
        <w:rPr>
          <w:rFonts w:ascii="仿宋" w:eastAsia="仿宋" w:hAnsi="仿宋" w:hint="eastAsia"/>
          <w:sz w:val="32"/>
          <w:lang w:val="en-US" w:eastAsia="zh-CN"/>
        </w:rPr>
        <w:t xml:space="preserve"> </w:t>
      </w:r>
      <w:r>
        <w:rPr>
          <w:rFonts w:ascii="仿宋" w:eastAsia="仿宋" w:hAnsi="仿宋" w:hint="eastAsia"/>
          <w:sz w:val="32"/>
        </w:rPr>
        <w:t xml:space="preserve">  签发人：</w:t>
      </w:r>
      <w:r>
        <w:rPr>
          <w:rFonts w:ascii="楷体" w:eastAsia="楷体" w:hAnsi="楷体" w:cs="楷体" w:hint="eastAsia"/>
          <w:b/>
          <w:bCs/>
          <w:sz w:val="32"/>
        </w:rPr>
        <w:t xml:space="preserve">才  旦</w:t>
      </w:r>
    </w:p>
    <w:p>
      <w:pPr>
        <w:spacing w:line="600" w:lineRule="exact"/>
        <w:ind w:firstLine="160" w:firstLineChars="50"/>
        <w:rPr>
          <w:rFonts w:ascii="楷体_GB2312" w:eastAsia="楷体_GB2312" w:hint="eastAsia"/>
          <w:sz w:val="32"/>
        </w:rPr>
      </w:pPr>
    </w:p>
    <w:p>
      <w:pPr>
        <w:jc w:val="center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 xml:space="preserve">刚察县文体旅游广电局</w:t>
      </w:r>
    </w:p>
    <w:p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 xml:space="preserve">关于上报政府信息公开工作年度报告</w:t>
      </w:r>
    </w:p>
    <w:p>
      <w:pPr>
        <w:rPr>
          <w:rFonts w:ascii="仿宋" w:eastAsia="仿宋" w:hAnsi="仿宋" w:cs="仿宋" w:hint="eastAsia"/>
          <w:sz w:val="32"/>
          <w:szCs w:val="32"/>
        </w:rPr>
      </w:pPr>
    </w:p>
    <w:p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县政府电子政务中心： </w:t>
      </w:r>
    </w:p>
    <w:p>
      <w:p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根据《中华人民共和国政府信息公开条例》和州政府办公室《关于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转发中华人民共和国政府信息公开工作年度报告格式</w:t>
      </w:r>
      <w:r>
        <w:rPr>
          <w:rFonts w:ascii="仿宋" w:eastAsia="仿宋" w:hAnsi="仿宋" w:cs="仿宋" w:hint="eastAsia"/>
          <w:sz w:val="32"/>
          <w:szCs w:val="32"/>
        </w:rPr>
        <w:t xml:space="preserve">的通知》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（北政办秘〔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2022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〕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1号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）文件</w:t>
      </w:r>
      <w:r>
        <w:rPr>
          <w:rFonts w:ascii="仿宋" w:eastAsia="仿宋" w:hAnsi="仿宋" w:cs="仿宋" w:hint="eastAsia"/>
          <w:sz w:val="32"/>
          <w:szCs w:val="32"/>
        </w:rPr>
        <w:t xml:space="preserve">要求，我局结合工作实际，认真总结202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年度政府信息公开工作情况，现将我局202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年政府信息公开工作报告如下： </w:t>
      </w:r>
    </w:p>
    <w:p>
      <w:pPr>
        <w:numPr>
          <w:ilvl w:val="0"/>
          <w:numId w:val="3"/>
        </w:numPr>
        <w:ind w:left="-10" w:firstLine="640" w:leftChars="0" w:firstLineChars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总体情况 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年，刚察县文体旅游广电局严格按照《中华人民共和国 政府信息公开条例》规定,加强政府信息公开工作的组织领导和队 伍建设，建立健全相关规章制度，依法推进政务信息公开，全年共撰写编发文件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179</w:t>
      </w:r>
      <w:r>
        <w:rPr>
          <w:rFonts w:ascii="仿宋" w:eastAsia="仿宋" w:hAnsi="仿宋" w:cs="仿宋" w:hint="eastAsia"/>
          <w:sz w:val="32"/>
          <w:szCs w:val="32"/>
        </w:rPr>
        <w:t xml:space="preserve">篇，工作信息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62</w:t>
      </w:r>
      <w:r>
        <w:rPr>
          <w:rFonts w:ascii="仿宋" w:eastAsia="仿宋" w:hAnsi="仿宋" w:cs="仿宋" w:hint="eastAsia"/>
          <w:sz w:val="32"/>
          <w:szCs w:val="32"/>
        </w:rPr>
        <w:t xml:space="preserve">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，政务信息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6期</w:t>
      </w:r>
      <w:r>
        <w:rPr>
          <w:rFonts w:ascii="仿宋" w:eastAsia="仿宋" w:hAnsi="仿宋" w:cs="仿宋" w:hint="eastAsia"/>
          <w:sz w:val="32"/>
          <w:szCs w:val="32"/>
        </w:rPr>
        <w:t xml:space="preserve">。 </w:t>
      </w:r>
    </w:p>
    <w:p>
      <w:pPr>
        <w:numPr>
          <w:ilvl w:val="0"/>
          <w:numId w:val="0"/>
        </w:numPr>
        <w:ind w:firstLine="643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（一）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强化组织领导，确保信息公开落实到位。</w:t>
      </w:r>
      <w:r>
        <w:rPr>
          <w:rFonts w:ascii="仿宋" w:eastAsia="仿宋" w:hAnsi="仿宋" w:cs="仿宋" w:hint="eastAsia"/>
          <w:sz w:val="32"/>
          <w:szCs w:val="32"/>
        </w:rPr>
        <w:t xml:space="preserve">我局政务公开领导小组由局长担任组长，副局长担任副组长，局属各单位及各科室负责人为成员，明确各项工作职责。严格实行主要领导亲自抓，分管领导具体抓的工作格局。同时将领导小组办公室设在办公室，形成办公室牵头、局属各单位及各科室协调配合的政务信息公开工作机制。 </w:t>
      </w:r>
    </w:p>
    <w:p>
      <w:pPr>
        <w:numPr>
          <w:ilvl w:val="0"/>
          <w:numId w:val="0"/>
        </w:numPr>
        <w:ind w:firstLine="643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（二）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完善工作机制，促进政务信息公开透明。</w:t>
      </w:r>
      <w:r>
        <w:rPr>
          <w:rFonts w:ascii="仿宋" w:eastAsia="仿宋" w:hAnsi="仿宋" w:cs="仿宋" w:hint="eastAsia"/>
          <w:sz w:val="32"/>
          <w:szCs w:val="32"/>
        </w:rPr>
        <w:t xml:space="preserve">为有效推进信息公开工作科学、规范、高效运行，根据《中华人民共和国政府信息公开条例》并按照信息公开工作要求，我局制定了工作机制一是建立了政府信息公开制度；二是建立了政府信息公开发布审核制度，对公开的信息由办公室主任负责初审、分管领导复审、局长终审后再发布，确保信息公开工作质量及保密规范；三是确保公开信息及时、准确，明确规定每月上报信息时限和数量。 </w:t>
      </w:r>
    </w:p>
    <w:p>
      <w:pPr>
        <w:numPr>
          <w:ilvl w:val="0"/>
          <w:numId w:val="0"/>
        </w:numPr>
        <w:ind w:firstLine="643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（三）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坚持高效便民，推进文化旅游重点领域公开工作。</w:t>
      </w:r>
      <w:r>
        <w:rPr>
          <w:rFonts w:ascii="仿宋" w:eastAsia="仿宋" w:hAnsi="仿宋" w:cs="仿宋" w:hint="eastAsia"/>
          <w:sz w:val="32"/>
          <w:szCs w:val="32"/>
        </w:rPr>
        <w:t xml:space="preserve">一是推进“一站式”办事事项服务信息公开。深入推行“马上办、网上办、就近办、一次办”为着力点，推进我局“放管服”改革工作和审批服务便民化工作持续开展，我局周密部署、积极组织人员对照政务服务事项清单，将梳理承接行政许可事项严格按照网上公布的办事指南、流程及承诺办理时限全部进行网上运行。行政审批（许可）办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件、出版物网络登记年审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12</w:t>
      </w:r>
      <w:r>
        <w:rPr>
          <w:rFonts w:ascii="仿宋" w:eastAsia="仿宋" w:hAnsi="仿宋" w:cs="仿宋" w:hint="eastAsia"/>
          <w:sz w:val="32"/>
          <w:szCs w:val="32"/>
        </w:rPr>
        <w:t xml:space="preserve">家，网吧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仿宋" w:hint="eastAsia"/>
          <w:sz w:val="32"/>
          <w:szCs w:val="32"/>
        </w:rPr>
        <w:t xml:space="preserve">家；共录入行政处罚 444条，其他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行政权力</w:t>
      </w:r>
      <w:r>
        <w:rPr>
          <w:rFonts w:ascii="仿宋" w:eastAsia="仿宋" w:hAnsi="仿宋" w:cs="仿宋" w:hint="eastAsia"/>
          <w:sz w:val="32"/>
          <w:szCs w:val="32"/>
        </w:rPr>
        <w:t xml:space="preserve">事项3条，公共服务事项 14 条，青海政务服务平台 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办件量19件。充分运用互联网+政务服务，不断提升服务质量、服务效率，真正让群众实现了不跑腿就办好。二是推进财务信息公开。严格按照财政部门要求，对本单位年度预算编制、决算执行、“三公”经费等情况进行统计，并在政务公开网站进行公示。三是推进文化市场执法检查信息公开。围绕一公开”、一公开”监管工作，及时在全国文化市场技术监管服务平台网站公开抽查主体、内容、方式及工作组织开展情况，及时公开抽查结果和查处情况；公开了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年度开展娱乐场所检查、互联网上网服务营业场所检查、旅游行业检查、出版物检查、卫星电视广播地面接收设施检查等方面的内容。 </w:t>
      </w:r>
    </w:p>
    <w:p>
      <w:pPr>
        <w:numPr>
          <w:ilvl w:val="0"/>
          <w:numId w:val="3"/>
        </w:numPr>
        <w:ind w:left="-10" w:firstLine="640" w:leftChars="0" w:firstLineChars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主动公开政府信息情况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321"/>
        <w:gridCol w:w="2322"/>
        <w:gridCol w:w="2322"/>
        <w:gridCol w:w="232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第二十条第（一）项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信息内容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本年新制作数量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本年新公开数量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对外公开总数量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规章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规范性文件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第二十条第（五）项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信息内容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上一年项目数量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本年增</w:t>
            </w: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/减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处理决定数量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行政许可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12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其他对外管理服务事项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第二十条第（六）项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信息内容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上一年项目数量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本年增</w:t>
            </w: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/减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处理决定数量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行政处罚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行政强制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第二十条第（八）项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信息内容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上一年项目数量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本年增</w:t>
            </w: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/减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行政事业性收费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第二十条第（九）项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信息内容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采购项目数量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采购总金额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  <w:t xml:space="preserve">政府集中采购</w:t>
            </w:r>
          </w:p>
        </w:tc>
        <w:tc>
          <w:tcPr>
            <w:tcW w:w="23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  <w:t xml:space="preserve"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三、收到和处理政府信息公开申请情况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641"/>
        <w:gridCol w:w="846"/>
        <w:gridCol w:w="6"/>
        <w:gridCol w:w="2504"/>
        <w:gridCol w:w="906"/>
        <w:gridCol w:w="867"/>
        <w:gridCol w:w="649"/>
        <w:gridCol w:w="688"/>
        <w:gridCol w:w="866"/>
        <w:gridCol w:w="663"/>
        <w:gridCol w:w="65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3997" w:type="dxa"/>
            <w:gridSpan w:val="4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529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申请人情况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3997" w:type="dxa"/>
            <w:gridSpan w:val="4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自然人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法人或其他组织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/>
        </w:trPr>
        <w:tc>
          <w:tcPr>
            <w:tcW w:w="3997" w:type="dxa"/>
            <w:gridSpan w:val="4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商业企业</w:t>
            </w: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科研机构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社会公益组织</w:t>
            </w: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法律服务机构</w:t>
            </w: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其他</w:t>
            </w:r>
          </w:p>
        </w:tc>
        <w:tc>
          <w:tcPr>
            <w:tcW w:w="65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399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一、本年新收政府信息公开申请数量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399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二、上年结转政府信息公开申请数量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三、本年度办理结果</w:t>
            </w:r>
          </w:p>
        </w:tc>
        <w:tc>
          <w:tcPr>
            <w:tcW w:w="33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（一）予以公开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33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（二）部分公开（区分处理的，只计这一情形、不计其他情形）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（三）不予公开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1.属于国家秘密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2.其他法律行政法规禁止公开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3.危及“三安全一稳定”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4.保护第三方合法权益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5.属于三类内部事务信息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6.属于四类过程性信息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7.属于行政执法案卷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46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8.属于行政查询事项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（四）无法提供</w:t>
            </w: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1.本机关不掌握相关政府信息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2.没有现成信息需要另行制作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3.补正后申请内容仍不明确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（五）不予处理</w:t>
            </w: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1.信访举报投诉类申请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2.重复申请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3.要求提供公开出版物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4.无正当理由大量反复申请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5.要求行政机关确认或重新出具已获取信息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33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（六）其他处理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641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335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（七）总计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399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eastAsia="zh-CN"/>
              </w:rPr>
              <w:t xml:space="preserve">四、结转下年度继续办理</w:t>
            </w:r>
          </w:p>
        </w:tc>
        <w:tc>
          <w:tcPr>
            <w:tcW w:w="9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8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vertAlign w:val="baseline"/>
                <w:lang w:val="en-US" w:eastAsia="zh-CN"/>
              </w:rPr>
              <w:t xml:space="preserve">0</w:t>
            </w:r>
          </w:p>
        </w:tc>
      </w:tr>
    </w:tbl>
    <w:p>
      <w:pPr>
        <w:numPr>
          <w:ilvl w:val="0"/>
          <w:numId w:val="0"/>
        </w:numPr>
        <w:rPr>
          <w:rFonts w:ascii="仿宋" w:eastAsia="仿宋" w:hAnsi="仿宋" w:cs="仿宋" w:hint="eastAsia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四、</w:t>
      </w:r>
      <w:r>
        <w:rPr>
          <w:rFonts w:ascii="黑体" w:eastAsia="黑体" w:hAnsi="黑体" w:cs="黑体" w:hint="eastAsia"/>
          <w:sz w:val="32"/>
          <w:szCs w:val="32"/>
        </w:rPr>
        <w:t xml:space="preserve">政府信息公开行政复议、行政诉讼情况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/>
        </w:trPr>
        <w:tc>
          <w:tcPr>
            <w:tcW w:w="309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行政复议</w:t>
            </w:r>
          </w:p>
        </w:tc>
        <w:tc>
          <w:tcPr>
            <w:tcW w:w="6192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行政诉讼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/>
        </w:trPr>
        <w:tc>
          <w:tcPr>
            <w:tcW w:w="6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结果维持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结果纠正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其他结果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尚未审结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总计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未经复议直接起诉</w:t>
            </w:r>
          </w:p>
        </w:tc>
        <w:tc>
          <w:tcPr>
            <w:tcW w:w="309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复议后起诉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619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" w:type="dxa"/>
            <w:vMerge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结果维持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结果纠正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其他结果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尚未审结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总计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结果维持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结果纠正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其他结果</w:t>
            </w:r>
          </w:p>
        </w:tc>
        <w:tc>
          <w:tcPr>
            <w:tcW w:w="620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尚未审结</w:t>
            </w:r>
          </w:p>
        </w:tc>
        <w:tc>
          <w:tcPr>
            <w:tcW w:w="620" w:type="dxa"/>
            <w:vAlign w:val="center"/>
          </w:tcPr>
          <w:p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eastAsia="zh-CN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</w:trPr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  <w:tc>
          <w:tcPr>
            <w:tcW w:w="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vertAlign w:val="baseline"/>
                <w:lang w:val="en-US" w:eastAsia="zh-CN"/>
              </w:rPr>
              <w:t xml:space="preserve">0</w:t>
            </w:r>
          </w:p>
        </w:tc>
      </w:tr>
    </w:tbl>
    <w:p>
      <w:pPr>
        <w:numPr>
          <w:ilvl w:val="0"/>
          <w:numId w:val="0"/>
        </w:numPr>
        <w:rPr>
          <w:rFonts w:ascii="仿宋" w:eastAsia="仿宋" w:hAnsi="仿宋" w:cs="仿宋" w:hint="eastAsia"/>
          <w:sz w:val="32"/>
          <w:szCs w:val="32"/>
        </w:rPr>
      </w:pPr>
    </w:p>
    <w:p>
      <w:pPr>
        <w:numPr>
          <w:ilvl w:val="0"/>
          <w:numId w:val="4"/>
        </w:numPr>
        <w:ind w:firstLine="64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政府信息公开存在的主要问题及改进情况 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仿宋" w:hint="eastAsia"/>
          <w:sz w:val="32"/>
          <w:szCs w:val="32"/>
        </w:rPr>
        <w:t xml:space="preserve">年我局严格遵守《政府信息公开条例》，但对于政务公开工作要求还存在许多不足，比如，信息公开力度有待加强、公开内容的规范性有待改善等问题。今后我局将从以下几个方面加强工作，推动政务公开有序开展。 </w:t>
      </w:r>
    </w:p>
    <w:p>
      <w:pPr>
        <w:numPr>
          <w:ilvl w:val="0"/>
          <w:numId w:val="0"/>
        </w:numPr>
        <w:ind w:firstLine="643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（一）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进一步加强政务公开学习培训。</w:t>
      </w:r>
      <w:r>
        <w:rPr>
          <w:rFonts w:ascii="仿宋" w:eastAsia="仿宋" w:hAnsi="仿宋" w:cs="仿宋" w:hint="eastAsia"/>
          <w:sz w:val="32"/>
          <w:szCs w:val="32"/>
        </w:rPr>
        <w:t xml:space="preserve">组织单位人员学习《中 华人民共和国政府信息公开条例》等政策法规，并安排计算机网 站建设及网络学习和培训，提升专业人员综合素质和水平。 </w:t>
      </w:r>
    </w:p>
    <w:p>
      <w:pPr>
        <w:numPr>
          <w:ilvl w:val="0"/>
          <w:numId w:val="0"/>
        </w:numPr>
        <w:ind w:firstLine="643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eastAsia="zh-CN"/>
        </w:rPr>
        <w:t xml:space="preserve">（二）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进一步加大政务信息公开力度。</w:t>
      </w:r>
      <w:r>
        <w:rPr>
          <w:rFonts w:ascii="仿宋" w:eastAsia="仿宋" w:hAnsi="仿宋" w:cs="仿宋" w:hint="eastAsia"/>
          <w:sz w:val="32"/>
          <w:szCs w:val="32"/>
        </w:rPr>
        <w:t xml:space="preserve">进一步完善政府信息 公开各项工作制度，规范信息公开内容，提高公开质量。丰富政府信息公开方式，通过开设网站、微信、展板、广播等新媒体方式进行公开。 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六、</w:t>
      </w:r>
      <w:r>
        <w:rPr>
          <w:rFonts w:ascii="黑体" w:eastAsia="黑体" w:hAnsi="黑体" w:cs="黑体" w:hint="eastAsia"/>
          <w:sz w:val="32"/>
          <w:szCs w:val="32"/>
        </w:rPr>
        <w:t xml:space="preserve">其他需要报告的事项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无其他报告事项。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tabs>
          <w:tab w:val="left" w:pos="7560"/>
        </w:tabs>
        <w:spacing w:line="600" w:lineRule="exact"/>
        <w:ind w:firstLine="5440" w:firstLineChars="170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 xml:space="preserve">22</w:t>
      </w:r>
      <w:r>
        <w:rPr>
          <w:rFonts w:ascii="仿宋" w:eastAsia="仿宋" w:hAnsi="仿宋" w:cs="宋体" w:hint="eastAsia"/>
          <w:sz w:val="32"/>
          <w:szCs w:val="32"/>
        </w:rPr>
        <w:t xml:space="preserve">年</w:t>
      </w:r>
      <w:r>
        <w:rPr>
          <w:rFonts w:ascii="仿宋" w:eastAsia="仿宋" w:hAnsi="仿宋" w:cs="宋体" w:hint="eastAsia"/>
          <w:sz w:val="32"/>
          <w:szCs w:val="32"/>
          <w:lang w:val="en-US" w:eastAsia="zh-CN"/>
        </w:rPr>
        <w:t xml:space="preserve">1</w:t>
      </w:r>
      <w:r>
        <w:rPr>
          <w:rFonts w:ascii="仿宋" w:eastAsia="仿宋" w:hAnsi="仿宋" w:cs="宋体" w:hint="eastAsia"/>
          <w:sz w:val="32"/>
          <w:szCs w:val="32"/>
        </w:rPr>
        <w:t xml:space="preserve">月</w:t>
      </w:r>
      <w:r>
        <w:rPr>
          <w:rFonts w:ascii="仿宋" w:eastAsia="仿宋" w:hAnsi="仿宋" w:cs="宋体" w:hint="eastAsia"/>
          <w:sz w:val="32"/>
          <w:szCs w:val="32"/>
          <w:lang w:val="en-US" w:eastAsia="zh-CN"/>
        </w:rPr>
        <w:t xml:space="preserve">19</w:t>
      </w:r>
      <w:r>
        <w:rPr>
          <w:rFonts w:ascii="仿宋" w:eastAsia="仿宋" w:hAnsi="仿宋" w:cs="宋体" w:hint="eastAsia"/>
          <w:sz w:val="32"/>
          <w:szCs w:val="32"/>
        </w:rPr>
        <w:t xml:space="preserve">日</w:t>
      </w:r>
    </w:p>
    <w:p>
      <w:pPr>
        <w:tabs>
          <w:tab w:val="left" w:pos="7560"/>
        </w:tabs>
        <w:spacing w:line="600" w:lineRule="exact"/>
        <w:ind w:firstLine="5440" w:firstLineChars="1700"/>
        <w:rPr>
          <w:rFonts w:ascii="仿宋" w:eastAsia="仿宋" w:hAnsi="仿宋" w:cs="宋体" w:hint="eastAsia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仿宋" w:eastAsia="仿宋" w:hAnsi="仿宋" w:cs="宋体" w:hint="eastAsia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仿宋" w:eastAsia="仿宋" w:hAnsi="仿宋" w:cs="宋体" w:hint="eastAsia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仿宋" w:eastAsia="仿宋" w:hAnsi="仿宋" w:cs="宋体" w:hint="eastAsia"/>
          <w:sz w:val="32"/>
          <w:szCs w:val="32"/>
        </w:rPr>
      </w:pPr>
    </w:p>
    <w:p>
      <w:pPr>
        <w:pBdr>
          <w:bottom w:val="single" w:sz="6" w:space="1" w:color="auto"/>
        </w:pBdr>
        <w:spacing w:line="600" w:lineRule="exac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pBdr>
          <w:bottom w:val="single" w:sz="6" w:space="1" w:color="auto"/>
        </w:pBdr>
        <w:tabs>
          <w:tab w:val="right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抄送：档。</w:t>
      </w:r>
      <w:r>
        <w:rPr>
          <w:rFonts w:ascii="仿宋" w:eastAsia="仿宋" w:hAnsi="仿宋" w:hint="eastAsia"/>
          <w:sz w:val="32"/>
          <w:szCs w:val="32"/>
        </w:rPr>
        <w:tab/>
      </w:r>
    </w:p>
    <w:p>
      <w:pPr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刚察县文体旅游广电局            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20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22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1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19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日印发</w:t>
      </w:r>
      <w:r>
        <w:rPr>
          <w:rFonts w:ascii="仿宋" w:eastAsia="仿宋" w:hAnsi="仿宋" w:hint="eastAsia"/>
          <w:sz w:val="32"/>
          <w:szCs w:val="32"/>
          <w:u w:val="single"/>
          <w:lang w:val="en-US" w:eastAsia="zh-CN"/>
        </w:rPr>
        <w:t xml:space="preserve"> </w:t>
      </w:r>
    </w:p>
    <w:sectPr>
      <w:pgSz w:w="11906" w:h="16838" w:orient="portrait"/>
      <w:pgMar w:top="1701" w:right="1134" w:bottom="1701" w:left="1701" w:header="851" w:footer="992" w:gutter="0"/>
      <w:cols w:num="1" w:space="425">
        <w:col w:w="9071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3">
    <w:multiLevelType w:val="singleLevel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hmNWJmYzkzOWU3NmUxYWQ0MTg4YTM1MmU0OTgxNjE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F5A71C3459B445439C9FA8D2A06BDE8D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0</Words>
  <Characters>0</Characters>
  <Application>WPS Office_12.1.0.16417_F1E327BC-269C-435d-A152-05C5408002CA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_x0028__x005E__x005E__x0029_霞_xFF1A__xFF09_</dc:creator>
  <cp:lastModifiedBy>海灵软件—何易佳</cp:lastModifiedBy>
  <cp:revision>1</cp:revision>
  <dcterms:created xsi:type="dcterms:W3CDTF">2022-01-17T08:23:00Z</dcterms:created>
  <dcterms:modified xsi:type="dcterms:W3CDTF">2024-04-16T02:36:42Z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2052-12.1.0.16417</vt:lpstr>
  </property>
  <property fmtid="{D5CDD505-2E9C-101B-9397-08002B2CF9AE}" pid="3" name="ICV">
    <vt:lpstr>F5A71C3459B445439C9FA8D2A06BDE8D</vt:lpstr>
  </property>
</Properties>
</file>