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36"/>
          <w:szCs w:val="36"/>
        </w:rPr>
      </w:pPr>
    </w:p>
    <w:p>
      <w:pPr>
        <w:spacing w:line="560" w:lineRule="exact"/>
        <w:jc w:val="center"/>
        <w:rPr>
          <w:rFonts w:hint="eastAsia" w:ascii="宋体" w:hAnsi="宋体" w:eastAsia="宋体" w:cs="宋体"/>
          <w:b w:val="0"/>
          <w:bCs w:val="0"/>
          <w:sz w:val="44"/>
          <w:szCs w:val="44"/>
          <w:lang w:val="en-US" w:eastAsia="zh-CN"/>
        </w:rPr>
      </w:pPr>
    </w:p>
    <w:p>
      <w:pPr>
        <w:pStyle w:val="4"/>
        <w:rPr>
          <w:rFonts w:hint="eastAsia" w:ascii="宋体" w:hAnsi="宋体" w:eastAsia="宋体" w:cs="宋体"/>
          <w:b w:val="0"/>
          <w:bCs w:val="0"/>
          <w:sz w:val="44"/>
          <w:szCs w:val="44"/>
          <w:lang w:val="en-US" w:eastAsia="zh-CN"/>
        </w:rPr>
      </w:pPr>
    </w:p>
    <w:p>
      <w:pPr>
        <w:pStyle w:val="5"/>
        <w:rPr>
          <w:rFonts w:hint="eastAsia" w:ascii="宋体" w:hAnsi="宋体" w:eastAsia="宋体" w:cs="宋体"/>
          <w:b w:val="0"/>
          <w:bCs w:val="0"/>
          <w:sz w:val="44"/>
          <w:szCs w:val="44"/>
          <w:lang w:val="en-US" w:eastAsia="zh-CN"/>
        </w:rPr>
      </w:pPr>
    </w:p>
    <w:p>
      <w:pPr>
        <w:pStyle w:val="5"/>
        <w:rPr>
          <w:rFonts w:hint="eastAsia" w:ascii="宋体" w:hAnsi="宋体" w:eastAsia="宋体" w:cs="宋体"/>
          <w:b w:val="0"/>
          <w:bCs w:val="0"/>
          <w:sz w:val="44"/>
          <w:szCs w:val="44"/>
          <w:lang w:val="en-US" w:eastAsia="zh-CN"/>
        </w:rPr>
      </w:pPr>
    </w:p>
    <w:p>
      <w:pPr>
        <w:spacing w:line="560" w:lineRule="exact"/>
        <w:jc w:val="both"/>
        <w:rPr>
          <w:rFonts w:hint="eastAsia" w:ascii="仿宋_GB2312" w:eastAsia="仿宋_GB2312"/>
          <w:sz w:val="32"/>
          <w:szCs w:val="32"/>
        </w:rPr>
      </w:pPr>
    </w:p>
    <w:p>
      <w:pPr>
        <w:jc w:val="center"/>
        <w:rPr>
          <w:rFonts w:hint="eastAsia" w:ascii="宋体" w:hAnsi="宋体" w:eastAsia="宋体" w:cs="宋体"/>
          <w:b/>
          <w:bCs/>
          <w:color w:val="auto"/>
          <w:sz w:val="44"/>
          <w:szCs w:val="44"/>
          <w:lang w:val="en-US" w:eastAsia="zh-CN"/>
        </w:rPr>
      </w:pPr>
      <w:r>
        <w:rPr>
          <w:rFonts w:hint="eastAsia" w:ascii="仿宋_GB2312" w:eastAsia="仿宋_GB2312"/>
          <w:sz w:val="32"/>
          <w:szCs w:val="32"/>
        </w:rPr>
        <w:t>刚人社发（</w:t>
      </w:r>
      <w:r>
        <w:rPr>
          <w:rFonts w:hint="eastAsia" w:ascii="仿宋_GB2312" w:eastAsia="仿宋_GB2312"/>
          <w:sz w:val="32"/>
          <w:szCs w:val="32"/>
          <w:lang w:val="en-US" w:eastAsia="zh-CN"/>
        </w:rPr>
        <w:t>2022</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刚察县人力资源和社会保障局</w:t>
      </w:r>
    </w:p>
    <w:p>
      <w:pPr>
        <w:jc w:val="center"/>
        <w:rPr>
          <w:rFonts w:hint="eastAsia" w:ascii="宋体" w:hAnsi="宋体" w:eastAsia="宋体" w:cs="宋体"/>
          <w:b/>
          <w:bCs/>
          <w:sz w:val="44"/>
          <w:szCs w:val="44"/>
        </w:rPr>
      </w:pPr>
      <w:r>
        <w:rPr>
          <w:rFonts w:hint="eastAsia" w:ascii="宋体" w:hAnsi="宋体" w:eastAsia="宋体" w:cs="宋体"/>
          <w:b/>
          <w:bCs/>
          <w:sz w:val="44"/>
          <w:szCs w:val="44"/>
        </w:rPr>
        <w:t>关于上报202</w:t>
      </w:r>
      <w:r>
        <w:rPr>
          <w:rFonts w:hint="eastAsia" w:ascii="宋体" w:hAnsi="宋体" w:eastAsia="宋体" w:cs="宋体"/>
          <w:b/>
          <w:bCs/>
          <w:sz w:val="44"/>
          <w:szCs w:val="44"/>
          <w:lang w:val="en-US" w:eastAsia="zh-CN"/>
        </w:rPr>
        <w:t>1</w:t>
      </w:r>
      <w:bookmarkStart w:id="0" w:name="_GoBack"/>
      <w:bookmarkEnd w:id="0"/>
      <w:r>
        <w:rPr>
          <w:rFonts w:hint="eastAsia" w:ascii="宋体" w:hAnsi="宋体" w:eastAsia="宋体" w:cs="宋体"/>
          <w:b/>
          <w:bCs/>
          <w:sz w:val="44"/>
          <w:szCs w:val="44"/>
        </w:rPr>
        <w:t>年度政府信息公开工作开展情况的报告</w:t>
      </w:r>
    </w:p>
    <w:p>
      <w:pPr>
        <w:rPr>
          <w:rFonts w:hint="eastAsia" w:ascii="仿宋" w:hAnsi="仿宋" w:eastAsia="仿宋" w:cs="仿宋"/>
          <w:sz w:val="32"/>
          <w:szCs w:val="32"/>
        </w:rPr>
      </w:pPr>
      <w:r>
        <w:rPr>
          <w:rFonts w:hint="eastAsia" w:ascii="仿宋" w:hAnsi="仿宋" w:eastAsia="仿宋" w:cs="仿宋"/>
          <w:sz w:val="32"/>
          <w:szCs w:val="32"/>
        </w:rPr>
        <w:t>县电子政务中心：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刚察县人社局深入落实党中央、国务院有关决策部署和政府信息公开条例，强化组织建设，完善工作机制，加强政策解读和回应关切力度，全面推进基层就业创业和社会保险领域政务公开标准化规范化创建工作，以公开促落实、促规范、促服务，优化提升便民利企效能，切实增强人民群众的满意度、获得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一、总体情况</w:t>
      </w:r>
    </w:p>
    <w:p>
      <w:pPr>
        <w:keepNext w:val="0"/>
        <w:keepLines w:val="0"/>
        <w:pageBreakBefore w:val="0"/>
        <w:widowControl/>
        <w:shd w:val="clear" w:color="000000"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i w:val="0"/>
          <w:iCs w:val="0"/>
          <w:caps w:val="0"/>
          <w:color w:val="auto"/>
          <w:spacing w:val="0"/>
          <w:sz w:val="32"/>
          <w:szCs w:val="32"/>
        </w:rPr>
      </w:pPr>
      <w:r>
        <w:rPr>
          <w:rFonts w:hint="eastAsia" w:ascii="楷体" w:hAnsi="楷体" w:eastAsia="楷体" w:cs="楷体"/>
          <w:b/>
          <w:bCs/>
          <w:i w:val="0"/>
          <w:iCs w:val="0"/>
          <w:caps w:val="0"/>
          <w:color w:val="auto"/>
          <w:spacing w:val="0"/>
          <w:kern w:val="0"/>
          <w:sz w:val="32"/>
          <w:szCs w:val="32"/>
          <w:lang w:val="en-US" w:eastAsia="zh-CN" w:bidi="ar"/>
        </w:rPr>
        <w:t>（一）着力推进重点领域信息公开。</w:t>
      </w:r>
      <w:r>
        <w:rPr>
          <w:rFonts w:hint="eastAsia" w:ascii="仿宋" w:hAnsi="仿宋" w:eastAsia="仿宋" w:cs="仿宋"/>
          <w:i w:val="0"/>
          <w:iCs w:val="0"/>
          <w:caps w:val="0"/>
          <w:color w:val="auto"/>
          <w:spacing w:val="0"/>
          <w:kern w:val="0"/>
          <w:sz w:val="32"/>
          <w:szCs w:val="32"/>
          <w:lang w:val="en-US" w:eastAsia="zh-CN" w:bidi="ar"/>
        </w:rPr>
        <w:t>刚察县人社局结合本单位就业创业和社会保险工作实际及特点，以提升政务公开质量为主线，全面推进基层就业创业和社会保险领域政务公开标准化规范化创建工作，优化提升便民利企效能，切实增强人民群众的满意度、获得感。</w:t>
      </w:r>
      <w:r>
        <w:rPr>
          <w:rFonts w:hint="eastAsia" w:ascii="仿宋" w:hAnsi="仿宋" w:eastAsia="仿宋" w:cs="仿宋"/>
          <w:b/>
          <w:bCs/>
          <w:i w:val="0"/>
          <w:iCs w:val="0"/>
          <w:caps w:val="0"/>
          <w:color w:val="auto"/>
          <w:spacing w:val="0"/>
          <w:kern w:val="0"/>
          <w:sz w:val="32"/>
          <w:szCs w:val="32"/>
          <w:lang w:val="en-US" w:eastAsia="zh-CN" w:bidi="ar"/>
        </w:rPr>
        <w:t>一是</w:t>
      </w:r>
      <w:r>
        <w:rPr>
          <w:rFonts w:hint="eastAsia" w:ascii="仿宋" w:hAnsi="仿宋" w:eastAsia="仿宋" w:cs="仿宋"/>
          <w:b w:val="0"/>
          <w:bCs w:val="0"/>
          <w:i w:val="0"/>
          <w:iCs w:val="0"/>
          <w:caps w:val="0"/>
          <w:color w:val="auto"/>
          <w:spacing w:val="0"/>
          <w:kern w:val="0"/>
          <w:sz w:val="32"/>
          <w:szCs w:val="32"/>
          <w:lang w:val="en-US" w:eastAsia="zh-CN" w:bidi="ar"/>
        </w:rPr>
        <w:t>2021年</w:t>
      </w:r>
      <w:r>
        <w:rPr>
          <w:rFonts w:hint="eastAsia" w:ascii="仿宋_GB2312" w:hAnsi="仿宋_GB2312" w:eastAsia="仿宋_GB2312" w:cs="仿宋_GB2312"/>
          <w:color w:val="auto"/>
          <w:sz w:val="32"/>
          <w:szCs w:val="32"/>
        </w:rPr>
        <w:t>共计收集84个求职信息，企业信息26个，岗位信息231个，已经全部收录入金保系统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共发布招聘信息1084条，微信公众平台发布招聘信息97条，提供岗位数量5000余个</w:t>
      </w:r>
      <w:r>
        <w:rPr>
          <w:rFonts w:hint="eastAsia" w:ascii="仿宋_GB2312" w:hAnsi="仿宋_GB2312" w:eastAsia="仿宋_GB2312" w:cs="仿宋_GB2312"/>
          <w:color w:val="auto"/>
          <w:sz w:val="32"/>
          <w:szCs w:val="32"/>
          <w:lang w:eastAsia="zh-CN"/>
        </w:rPr>
        <w:t>；</w:t>
      </w:r>
      <w:r>
        <w:rPr>
          <w:rFonts w:hint="eastAsia" w:ascii="仿宋" w:hAnsi="仿宋" w:eastAsia="仿宋" w:cs="仿宋"/>
          <w:b/>
          <w:bCs/>
          <w:i w:val="0"/>
          <w:iCs w:val="0"/>
          <w:caps w:val="0"/>
          <w:color w:val="auto"/>
          <w:spacing w:val="0"/>
          <w:kern w:val="0"/>
          <w:sz w:val="32"/>
          <w:szCs w:val="32"/>
          <w:lang w:val="en-US" w:eastAsia="zh-CN" w:bidi="ar"/>
        </w:rPr>
        <w:t>二是</w:t>
      </w:r>
      <w:r>
        <w:rPr>
          <w:rFonts w:hint="eastAsia" w:ascii="仿宋" w:hAnsi="仿宋" w:eastAsia="仿宋" w:cs="仿宋"/>
          <w:i w:val="0"/>
          <w:iCs w:val="0"/>
          <w:caps w:val="0"/>
          <w:color w:val="auto"/>
          <w:spacing w:val="0"/>
          <w:kern w:val="0"/>
          <w:sz w:val="32"/>
          <w:szCs w:val="32"/>
          <w:lang w:val="en-US" w:eastAsia="zh-CN" w:bidi="ar"/>
        </w:rPr>
        <w:t>及时规范和完善社会保障、失业保险、工伤保险等公共服务事项办事指南，及时主动多渠道广泛发布社会保险领域信息。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yellow"/>
        </w:rPr>
      </w:pPr>
      <w:r>
        <w:rPr>
          <w:rFonts w:hint="eastAsia" w:ascii="楷体" w:hAnsi="楷体" w:eastAsia="楷体" w:cs="楷体"/>
          <w:b/>
          <w:bCs/>
          <w:i w:val="0"/>
          <w:iCs w:val="0"/>
          <w:caps w:val="0"/>
          <w:color w:val="auto"/>
          <w:spacing w:val="0"/>
          <w:kern w:val="0"/>
          <w:sz w:val="32"/>
          <w:szCs w:val="32"/>
          <w:lang w:val="en-US" w:eastAsia="zh-CN" w:bidi="ar"/>
        </w:rPr>
        <w:t>（二）加强政策解读并提升服务实效。</w:t>
      </w:r>
      <w:r>
        <w:rPr>
          <w:rFonts w:hint="eastAsia" w:ascii="仿宋" w:hAnsi="仿宋" w:eastAsia="仿宋" w:cs="仿宋"/>
          <w:i w:val="0"/>
          <w:iCs w:val="0"/>
          <w:caps w:val="0"/>
          <w:color w:val="auto"/>
          <w:spacing w:val="0"/>
          <w:kern w:val="0"/>
          <w:sz w:val="32"/>
          <w:szCs w:val="32"/>
          <w:lang w:val="en-US" w:eastAsia="zh-CN" w:bidi="ar"/>
        </w:rPr>
        <w:t>发布“政策解读”“政策文件及解读”“执行落实情况”等相关信息。同时提高政策解读质量，深入介绍政策背景、主要内容、利企便民举措等，主动答疑解惑；通过图表、政策问答、微信公众平台、在线访谈等方式，对政策进行形象化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（三）及时回应社会关切</w:t>
      </w:r>
      <w:r>
        <w:rPr>
          <w:rFonts w:hint="eastAsia" w:ascii="楷体" w:hAnsi="楷体" w:eastAsia="楷体" w:cs="楷体"/>
          <w:b/>
          <w:bCs/>
          <w:color w:val="auto"/>
          <w:sz w:val="32"/>
          <w:szCs w:val="32"/>
        </w:rPr>
        <w:t>。</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rPr>
        <w:t>持续深化“放管服”改革，推动“快办”扩面提速</w:t>
      </w:r>
      <w:r>
        <w:rPr>
          <w:rFonts w:hint="eastAsia" w:ascii="仿宋" w:hAnsi="仿宋" w:eastAsia="仿宋" w:cs="仿宋"/>
          <w:b/>
          <w:bCs/>
          <w:color w:val="auto"/>
          <w:sz w:val="32"/>
          <w:szCs w:val="32"/>
        </w:rPr>
        <w:t>。</w:t>
      </w:r>
      <w:r>
        <w:rPr>
          <w:rFonts w:hint="eastAsia" w:ascii="仿宋" w:hAnsi="仿宋" w:eastAsia="仿宋" w:cs="仿宋"/>
          <w:color w:val="auto"/>
          <w:sz w:val="32"/>
          <w:szCs w:val="32"/>
        </w:rPr>
        <w:t>紧密结合人社部和我省“一网通办”87个事项，一门一次改革方案中的26个事项，围绕群众眼中的“一件事”等事项内容，</w:t>
      </w:r>
      <w:r>
        <w:rPr>
          <w:rFonts w:hint="eastAsia" w:ascii="仿宋" w:hAnsi="仿宋" w:eastAsia="仿宋"/>
          <w:color w:val="auto"/>
          <w:sz w:val="32"/>
          <w:szCs w:val="32"/>
        </w:rPr>
        <w:t>全方位推动服务事项“网上办”。</w:t>
      </w:r>
      <w:r>
        <w:rPr>
          <w:rFonts w:hint="eastAsia" w:ascii="仿宋" w:hAnsi="仿宋" w:eastAsia="仿宋" w:cs="仿宋"/>
          <w:color w:val="auto"/>
          <w:sz w:val="32"/>
          <w:szCs w:val="32"/>
        </w:rPr>
        <w:t>截至目前办理“跨省办”事项25件；办理“一门一次”事项1895件；办理“打包办”事项321件；办理“提速办”事项257件。已</w:t>
      </w: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全县4307人进行了资格认证。</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开通“刚察人社微信公众号”，适时发送人社政策、人事人才信息等，全年共发布招聘、公共服务等信息</w:t>
      </w:r>
      <w:r>
        <w:rPr>
          <w:rFonts w:hint="eastAsia" w:ascii="仿宋" w:hAnsi="仿宋" w:eastAsia="仿宋" w:cs="仿宋"/>
          <w:color w:val="auto"/>
          <w:sz w:val="32"/>
          <w:szCs w:val="32"/>
          <w:lang w:val="en-US" w:eastAsia="zh-CN"/>
        </w:rPr>
        <w:t>108</w:t>
      </w:r>
      <w:r>
        <w:rPr>
          <w:rFonts w:hint="eastAsia" w:ascii="仿宋" w:hAnsi="仿宋" w:eastAsia="仿宋" w:cs="仿宋"/>
          <w:color w:val="auto"/>
          <w:sz w:val="32"/>
          <w:szCs w:val="32"/>
        </w:rPr>
        <w:t>篇</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为提高我县人社系统办公自动化水平，提升办公效率，规范日常管理，实现系统内无纸化办公，全面启动“12333”办公系统。12333在线咨询”共受理</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件，</w:t>
      </w:r>
      <w:r>
        <w:rPr>
          <w:rFonts w:hint="eastAsia" w:ascii="仿宋" w:hAnsi="仿宋" w:eastAsia="仿宋" w:cs="仿宋"/>
          <w:color w:val="auto"/>
          <w:sz w:val="32"/>
          <w:szCs w:val="32"/>
          <w:lang w:val="en-US" w:eastAsia="zh-CN"/>
        </w:rPr>
        <w:t>涉及302人，解决欠薪39.06万元，</w:t>
      </w:r>
      <w:r>
        <w:rPr>
          <w:rFonts w:hint="eastAsia" w:ascii="仿宋" w:hAnsi="仿宋" w:eastAsia="仿宋" w:cs="仿宋"/>
          <w:color w:val="auto"/>
          <w:sz w:val="32"/>
          <w:szCs w:val="32"/>
        </w:rPr>
        <w:t>打通了业务办理“最后一公里”。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二、主动公开政府信息情况</w:t>
      </w:r>
    </w:p>
    <w:tbl>
      <w:tblPr>
        <w:tblStyle w:val="10"/>
        <w:tblpPr w:leftFromText="180" w:rightFromText="180" w:vertAnchor="text" w:horzAnchor="page" w:tblpX="1964" w:tblpY="146"/>
        <w:tblOverlap w:val="never"/>
        <w:tblW w:w="8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16"/>
        <w:gridCol w:w="2016"/>
        <w:gridCol w:w="2016"/>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jc w:val="center"/>
        </w:trPr>
        <w:tc>
          <w:tcPr>
            <w:tcW w:w="808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信息内容</w:t>
            </w:r>
          </w:p>
        </w:tc>
        <w:tc>
          <w:tcPr>
            <w:tcW w:w="2016"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本年制发件数</w:t>
            </w:r>
          </w:p>
        </w:tc>
        <w:tc>
          <w:tcPr>
            <w:tcW w:w="2016"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本年废止件数</w:t>
            </w:r>
          </w:p>
        </w:tc>
        <w:tc>
          <w:tcPr>
            <w:tcW w:w="203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规章</w:t>
            </w:r>
          </w:p>
        </w:tc>
        <w:tc>
          <w:tcPr>
            <w:tcW w:w="201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201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20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行政规范性文件</w:t>
            </w:r>
          </w:p>
        </w:tc>
        <w:tc>
          <w:tcPr>
            <w:tcW w:w="201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201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20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808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信息内容</w:t>
            </w:r>
          </w:p>
        </w:tc>
        <w:tc>
          <w:tcPr>
            <w:tcW w:w="6064"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行政许可</w:t>
            </w:r>
          </w:p>
        </w:tc>
        <w:tc>
          <w:tcPr>
            <w:tcW w:w="6064"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808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信息内容</w:t>
            </w:r>
          </w:p>
        </w:tc>
        <w:tc>
          <w:tcPr>
            <w:tcW w:w="6064"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行政处罚</w:t>
            </w:r>
          </w:p>
        </w:tc>
        <w:tc>
          <w:tcPr>
            <w:tcW w:w="6064"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行政强制</w:t>
            </w:r>
          </w:p>
        </w:tc>
        <w:tc>
          <w:tcPr>
            <w:tcW w:w="6064"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808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信息内容</w:t>
            </w:r>
          </w:p>
        </w:tc>
        <w:tc>
          <w:tcPr>
            <w:tcW w:w="6064"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jc w:val="center"/>
        </w:trPr>
        <w:tc>
          <w:tcPr>
            <w:tcW w:w="201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行政事业性收费</w:t>
            </w:r>
          </w:p>
        </w:tc>
        <w:tc>
          <w:tcPr>
            <w:tcW w:w="6064"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三、收到和处理政府信息公开申请情况</w:t>
      </w:r>
    </w:p>
    <w:tbl>
      <w:tblPr>
        <w:tblStyle w:val="10"/>
        <w:tblW w:w="8028"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7"/>
        <w:gridCol w:w="749"/>
        <w:gridCol w:w="940"/>
        <w:gridCol w:w="1014"/>
        <w:gridCol w:w="733"/>
        <w:gridCol w:w="873"/>
        <w:gridCol w:w="858"/>
        <w:gridCol w:w="780"/>
        <w:gridCol w:w="663"/>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2456"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（本列数据的勾稽关系为：第一项加第二项之和，等于第三项加第四项之和）</w:t>
            </w:r>
          </w:p>
        </w:tc>
        <w:tc>
          <w:tcPr>
            <w:tcW w:w="5572"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245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1014"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自然人</w:t>
            </w:r>
          </w:p>
        </w:tc>
        <w:tc>
          <w:tcPr>
            <w:tcW w:w="3907"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法人或其他组织</w:t>
            </w:r>
          </w:p>
        </w:tc>
        <w:tc>
          <w:tcPr>
            <w:tcW w:w="651"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45" w:hRule="atLeast"/>
        </w:trPr>
        <w:tc>
          <w:tcPr>
            <w:tcW w:w="245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1014"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科研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机构</w:t>
            </w:r>
          </w:p>
        </w:tc>
        <w:tc>
          <w:tcPr>
            <w:tcW w:w="858"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社会公益组织</w:t>
            </w:r>
          </w:p>
        </w:tc>
        <w:tc>
          <w:tcPr>
            <w:tcW w:w="78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法律服务机构</w:t>
            </w:r>
          </w:p>
        </w:tc>
        <w:tc>
          <w:tcPr>
            <w:tcW w:w="66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651"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0" w:hRule="atLeast"/>
        </w:trPr>
        <w:tc>
          <w:tcPr>
            <w:tcW w:w="245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一、本年新收政府信息公开申请数量</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8" w:hRule="atLeast"/>
        </w:trPr>
        <w:tc>
          <w:tcPr>
            <w:tcW w:w="245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二、上年结转政府信息公开申请数量</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三、本年度办理结果</w:t>
            </w:r>
          </w:p>
        </w:tc>
        <w:tc>
          <w:tcPr>
            <w:tcW w:w="168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168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74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94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p>
        </w:tc>
        <w:tc>
          <w:tcPr>
            <w:tcW w:w="168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245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四、结转下年度继续办理</w:t>
            </w:r>
          </w:p>
        </w:tc>
        <w:tc>
          <w:tcPr>
            <w:tcW w:w="1014"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3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7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85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7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6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5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四、政府信息公开行政复议、行政诉讼情况</w:t>
      </w:r>
    </w:p>
    <w:tbl>
      <w:tblPr>
        <w:tblStyle w:val="10"/>
        <w:tblW w:w="8038"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
        <w:gridCol w:w="525"/>
        <w:gridCol w:w="570"/>
        <w:gridCol w:w="615"/>
        <w:gridCol w:w="600"/>
        <w:gridCol w:w="510"/>
        <w:gridCol w:w="480"/>
        <w:gridCol w:w="495"/>
        <w:gridCol w:w="495"/>
        <w:gridCol w:w="495"/>
        <w:gridCol w:w="510"/>
        <w:gridCol w:w="510"/>
        <w:gridCol w:w="525"/>
        <w:gridCol w:w="495"/>
        <w:gridCol w:w="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2" w:hRule="atLeast"/>
        </w:trPr>
        <w:tc>
          <w:tcPr>
            <w:tcW w:w="306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行政复议</w:t>
            </w:r>
          </w:p>
        </w:tc>
        <w:tc>
          <w:tcPr>
            <w:tcW w:w="4978"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2" w:hRule="atLeast"/>
        </w:trPr>
        <w:tc>
          <w:tcPr>
            <w:tcW w:w="7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结果维持</w:t>
            </w:r>
          </w:p>
        </w:tc>
        <w:tc>
          <w:tcPr>
            <w:tcW w:w="5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纠正</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结果</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尚未</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审结</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c>
          <w:tcPr>
            <w:tcW w:w="247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未经复议直接起诉</w:t>
            </w:r>
          </w:p>
        </w:tc>
        <w:tc>
          <w:tcPr>
            <w:tcW w:w="2503"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61" w:hRule="atLeast"/>
        </w:trPr>
        <w:tc>
          <w:tcPr>
            <w:tcW w:w="7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5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p>
        </w:tc>
        <w:tc>
          <w:tcPr>
            <w:tcW w:w="5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维持</w:t>
            </w:r>
          </w:p>
        </w:tc>
        <w:tc>
          <w:tcPr>
            <w:tcW w:w="4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纠正</w:t>
            </w:r>
          </w:p>
        </w:tc>
        <w:tc>
          <w:tcPr>
            <w:tcW w:w="4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结果</w:t>
            </w:r>
          </w:p>
        </w:tc>
        <w:tc>
          <w:tcPr>
            <w:tcW w:w="4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尚未</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审结</w:t>
            </w:r>
          </w:p>
        </w:tc>
        <w:tc>
          <w:tcPr>
            <w:tcW w:w="4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c>
          <w:tcPr>
            <w:tcW w:w="5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维持</w:t>
            </w:r>
          </w:p>
        </w:tc>
        <w:tc>
          <w:tcPr>
            <w:tcW w:w="5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纠正</w:t>
            </w:r>
          </w:p>
        </w:tc>
        <w:tc>
          <w:tcPr>
            <w:tcW w:w="5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其他结果</w:t>
            </w:r>
          </w:p>
        </w:tc>
        <w:tc>
          <w:tcPr>
            <w:tcW w:w="4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尚未</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审结</w:t>
            </w:r>
          </w:p>
        </w:tc>
        <w:tc>
          <w:tcPr>
            <w:tcW w:w="46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8" w:hRule="atLeast"/>
        </w:trPr>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5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4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五、存在的主要问题及改进情况</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（一）主要问题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门户网站与公众的互动性不够高；</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政府信息公开内容和形式不够规范、信息质量还不够高。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（二）改进情况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进一步充实信息公开内容，突出公众所关心的重点、热点和难点问题，加强与公众的互动沟通，切实发挥好政府信息公开平台的桥梁作用；</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规范发布信息内容，加强对政务公开业务人员的培训，提升业务水平，同时健全信息公开长效机制，向先进部门学习取经，不断提高政府信息公开工作水平。</w:t>
      </w: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jc w:val="right"/>
        <w:textAlignment w:val="auto"/>
        <w:rPr>
          <w:rFonts w:hint="eastAsia" w:ascii="仿宋" w:hAnsi="仿宋" w:eastAsia="仿宋"/>
          <w:sz w:val="32"/>
          <w:szCs w:val="32"/>
        </w:r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pPr>
        <w:pStyle w:val="3"/>
        <w:rPr>
          <w:rFonts w:hint="eastAsia" w:ascii="仿宋" w:hAnsi="仿宋" w:eastAsia="仿宋"/>
          <w:sz w:val="32"/>
          <w:szCs w:val="32"/>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rPr>
      </w:pPr>
    </w:p>
    <w:p>
      <w:pPr>
        <w:spacing w:line="500" w:lineRule="exact"/>
        <w:rPr>
          <w:rFonts w:hint="eastAsia" w:ascii="仿宋" w:hAnsi="仿宋" w:eastAsia="仿宋"/>
          <w:sz w:val="32"/>
          <w:szCs w:val="32"/>
          <w:u w:val="single"/>
          <w:lang w:val="en-US" w:eastAsia="zh-CN"/>
        </w:rPr>
      </w:pP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pPr>
        <w:spacing w:line="500" w:lineRule="exact"/>
        <w:rPr>
          <w:rFonts w:hint="eastAsia" w:ascii="仿宋" w:hAnsi="仿宋" w:eastAsia="仿宋" w:cs="仿宋"/>
          <w:sz w:val="32"/>
          <w:szCs w:val="32"/>
          <w:lang w:val="en-US" w:eastAsia="zh-CN"/>
        </w:rPr>
      </w:pPr>
      <w:r>
        <w:rPr>
          <w:rFonts w:hint="eastAsia" w:ascii="仿宋" w:hAnsi="仿宋" w:eastAsia="仿宋"/>
          <w:sz w:val="32"/>
          <w:szCs w:val="32"/>
          <w:u w:val="single"/>
        </w:rPr>
        <w:t xml:space="preserve">刚察县人力资源和社会保障局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202</w:t>
      </w:r>
      <w:r>
        <w:rPr>
          <w:rFonts w:hint="eastAsia" w:ascii="仿宋" w:hAnsi="仿宋" w:eastAsia="仿宋"/>
          <w:sz w:val="32"/>
          <w:szCs w:val="32"/>
          <w:u w:val="single"/>
          <w:lang w:val="en-US" w:eastAsia="zh-CN"/>
        </w:rPr>
        <w:t>2</w:t>
      </w:r>
      <w:r>
        <w:rPr>
          <w:rFonts w:hint="eastAsia" w:ascii="仿宋" w:hAnsi="仿宋" w:eastAsia="仿宋"/>
          <w:sz w:val="32"/>
          <w:szCs w:val="32"/>
          <w:u w:val="single"/>
        </w:rPr>
        <w:t>年</w:t>
      </w:r>
      <w:r>
        <w:rPr>
          <w:rFonts w:hint="eastAsia" w:ascii="仿宋" w:hAnsi="仿宋" w:eastAsia="仿宋"/>
          <w:sz w:val="32"/>
          <w:szCs w:val="32"/>
          <w:u w:val="single"/>
          <w:lang w:val="en-US" w:eastAsia="zh-CN"/>
        </w:rPr>
        <w:t>1</w:t>
      </w:r>
      <w:r>
        <w:rPr>
          <w:rFonts w:hint="eastAsia" w:ascii="仿宋" w:hAnsi="仿宋" w:eastAsia="仿宋"/>
          <w:sz w:val="32"/>
          <w:szCs w:val="32"/>
          <w:u w:val="single"/>
        </w:rPr>
        <w:t>月</w:t>
      </w:r>
      <w:r>
        <w:rPr>
          <w:rFonts w:hint="eastAsia" w:ascii="仿宋" w:hAnsi="仿宋" w:eastAsia="仿宋"/>
          <w:sz w:val="32"/>
          <w:szCs w:val="32"/>
          <w:u w:val="single"/>
          <w:lang w:val="en-US" w:eastAsia="zh-CN"/>
        </w:rPr>
        <w:t>28</w:t>
      </w:r>
      <w:r>
        <w:rPr>
          <w:rFonts w:hint="eastAsia" w:ascii="仿宋" w:hAnsi="仿宋" w:eastAsia="仿宋"/>
          <w:sz w:val="32"/>
          <w:szCs w:val="32"/>
          <w:u w:val="singl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A29B5"/>
    <w:rsid w:val="169067E9"/>
    <w:rsid w:val="34BA29B5"/>
    <w:rsid w:val="3EF4146A"/>
    <w:rsid w:val="58D41340"/>
    <w:rsid w:val="6EBC5D0F"/>
    <w:rsid w:val="7C2049FA"/>
    <w:rsid w:val="7D3656D2"/>
    <w:rsid w:val="7F5151FD"/>
    <w:rsid w:val="7FDE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line="376" w:lineRule="auto"/>
      <w:ind w:firstLine="250" w:firstLineChars="250"/>
      <w:outlineLvl w:val="3"/>
    </w:pPr>
    <w:rPr>
      <w:rFonts w:ascii="Cambria" w:hAnsi="Cambria" w:cs="Cambria"/>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正文文本缩进1"/>
    <w:basedOn w:val="1"/>
    <w:qFormat/>
    <w:uiPriority w:val="0"/>
    <w:pPr>
      <w:ind w:left="420" w:leftChars="200"/>
    </w:pPr>
    <w:rPr>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unhideWhenUsed/>
    <w:qFormat/>
    <w:uiPriority w:val="99"/>
    <w:pPr>
      <w:spacing w:line="480" w:lineRule="auto"/>
    </w:pPr>
    <w:rPr>
      <w:rFonts w:ascii="Calibri" w:hAnsi="Calibri" w:eastAsia="宋体" w:cs="Times New Roman"/>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2022-01-20T05:36:00Z</dcterms:created>
  <dc:creator>Administrator</dc:creator>
  <cp:lastModifiedBy>Administrator</cp:lastModifiedBy>
  <cp:lastPrinted>2022-01-20T11:15:18Z</cp:lastPrinted>
  <dcterms:modified xsi:type="dcterms:W3CDTF">2022-01-20T11:17:37Z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1E3C1F5B6EF2487793D22E958477D560</vt:lpwstr>
  </property>
</Properties>
</file>