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ageBreakBefore w:val="0"/>
        <w:widowControl/>
        <w:kinsoku/>
        <w:wordWrap/>
        <w:overflowPunct/>
        <w:topLinePunct w:val="0"/>
        <w:autoSpaceDE/>
        <w:autoSpaceDN/>
        <w:bidi w:val="0"/>
        <w:adjustRightInd w:val="0"/>
        <w:spacing w:line="560" w:lineRule="exact"/>
        <w:ind w:left="0" w:firstLine="0" w:leftChars="0" w:firstLineChars="0"/>
        <w:jc w:val="both"/>
        <w:textAlignment w:val="auto"/>
        <w:rPr>
          <w:rFonts w:ascii="仿宋" w:eastAsia="仿宋" w:hAnsi="仿宋" w:cs="宋体" w:hint="eastAsia"/>
          <w:color w:val="000000" w:themeColor="text1"/>
          <w:kern w:val="0"/>
          <w:sz w:val="32"/>
          <w:szCs w:val="32"/>
          <w14:textFill>
            <w14:solidFill>
              <w14:schemeClr w14:val="tx1"/>
            </w14:solidFill>
          </w14:textFill>
        </w:rPr>
      </w:pPr>
    </w:p>
    <w:p>
      <w:pPr>
        <w:pageBreakBefore w:val="0"/>
        <w:widowControl/>
        <w:kinsoku/>
        <w:wordWrap/>
        <w:overflowPunct/>
        <w:topLinePunct w:val="0"/>
        <w:autoSpaceDE/>
        <w:autoSpaceDN/>
        <w:bidi w:val="0"/>
        <w:adjustRightInd w:val="0"/>
        <w:spacing w:line="560" w:lineRule="exact"/>
        <w:ind w:left="0" w:firstLine="0" w:leftChars="0" w:firstLineChars="0"/>
        <w:jc w:val="both"/>
        <w:textAlignment w:val="auto"/>
        <w:rPr>
          <w:rFonts w:ascii="仿宋" w:eastAsia="仿宋" w:hAnsi="仿宋" w:cs="宋体" w:hint="eastAsia"/>
          <w:color w:val="000000" w:themeColor="text1"/>
          <w:kern w:val="0"/>
          <w:sz w:val="32"/>
          <w:szCs w:val="32"/>
          <w14:textFill>
            <w14:solidFill>
              <w14:schemeClr w14:val="tx1"/>
            </w14:solidFill>
          </w14:textFill>
        </w:rPr>
      </w:pPr>
    </w:p>
    <w:p>
      <w:pPr>
        <w:pageBreakBefore w:val="0"/>
        <w:widowControl/>
        <w:kinsoku/>
        <w:wordWrap/>
        <w:overflowPunct/>
        <w:topLinePunct w:val="0"/>
        <w:autoSpaceDE/>
        <w:autoSpaceDN/>
        <w:bidi w:val="0"/>
        <w:adjustRightInd w:val="0"/>
        <w:spacing w:line="560" w:lineRule="exact"/>
        <w:ind w:left="0" w:firstLine="0" w:leftChars="0" w:firstLineChars="0"/>
        <w:jc w:val="both"/>
        <w:textAlignment w:val="auto"/>
        <w:rPr>
          <w:rFonts w:ascii="仿宋" w:eastAsia="仿宋" w:hAnsi="仿宋" w:cs="宋体" w:hint="eastAsia"/>
          <w:color w:val="000000" w:themeColor="text1"/>
          <w:kern w:val="0"/>
          <w:sz w:val="32"/>
          <w:szCs w:val="32"/>
          <w14:textFill>
            <w14:solidFill>
              <w14:schemeClr w14:val="tx1"/>
            </w14:solidFill>
          </w14:textFill>
        </w:rPr>
      </w:pPr>
    </w:p>
    <w:p>
      <w:pPr>
        <w:pageBreakBefore w:val="0"/>
        <w:widowControl/>
        <w:kinsoku/>
        <w:wordWrap/>
        <w:overflowPunct/>
        <w:topLinePunct w:val="0"/>
        <w:autoSpaceDE/>
        <w:autoSpaceDN/>
        <w:bidi w:val="0"/>
        <w:adjustRightInd w:val="0"/>
        <w:spacing w:line="560" w:lineRule="exact"/>
        <w:ind w:left="0" w:firstLine="0" w:leftChars="0" w:firstLineChars="0"/>
        <w:jc w:val="both"/>
        <w:textAlignment w:val="auto"/>
        <w:rPr>
          <w:rFonts w:ascii="仿宋" w:eastAsia="仿宋" w:hAnsi="仿宋" w:cs="宋体" w:hint="eastAsia"/>
          <w:color w:val="000000" w:themeColor="text1"/>
          <w:kern w:val="0"/>
          <w:sz w:val="32"/>
          <w:szCs w:val="32"/>
          <w14:textFill>
            <w14:solidFill>
              <w14:schemeClr w14:val="tx1"/>
            </w14:solidFill>
          </w14:textFill>
        </w:rPr>
      </w:pPr>
    </w:p>
    <w:p>
      <w:pPr>
        <w:pageBreakBefore w:val="0"/>
        <w:widowControl/>
        <w:kinsoku/>
        <w:wordWrap/>
        <w:overflowPunct/>
        <w:topLinePunct w:val="0"/>
        <w:autoSpaceDE/>
        <w:autoSpaceDN/>
        <w:bidi w:val="0"/>
        <w:adjustRightInd w:val="0"/>
        <w:spacing w:line="560" w:lineRule="exact"/>
        <w:ind w:left="0" w:firstLine="0" w:leftChars="0" w:firstLineChars="0"/>
        <w:jc w:val="both"/>
        <w:textAlignment w:val="auto"/>
        <w:rPr>
          <w:rFonts w:ascii="仿宋" w:eastAsia="仿宋" w:hAnsi="仿宋" w:cs="宋体" w:hint="eastAsia"/>
          <w:color w:val="000000" w:themeColor="text1"/>
          <w:kern w:val="0"/>
          <w:sz w:val="32"/>
          <w:szCs w:val="32"/>
          <w14:textFill>
            <w14:solidFill>
              <w14:schemeClr w14:val="tx1"/>
            </w14:solidFill>
          </w14:textFill>
        </w:rPr>
      </w:pPr>
    </w:p>
    <w:p>
      <w:pPr>
        <w:pageBreakBefore w:val="0"/>
        <w:widowControl/>
        <w:kinsoku/>
        <w:wordWrap/>
        <w:overflowPunct/>
        <w:topLinePunct w:val="0"/>
        <w:autoSpaceDE/>
        <w:autoSpaceDN/>
        <w:bidi w:val="0"/>
        <w:adjustRightInd w:val="0"/>
        <w:spacing w:line="560" w:lineRule="exact"/>
        <w:ind w:left="0" w:firstLine="0" w:leftChars="0" w:firstLineChars="0"/>
        <w:jc w:val="both"/>
        <w:textAlignment w:val="auto"/>
        <w:rPr>
          <w:rFonts w:ascii="仿宋" w:eastAsia="仿宋" w:hAnsi="仿宋" w:cs="宋体" w:hint="eastAsia"/>
          <w:color w:val="000000" w:themeColor="text1"/>
          <w:kern w:val="0"/>
          <w:sz w:val="32"/>
          <w:szCs w:val="32"/>
          <w14:textFill>
            <w14:solidFill>
              <w14:schemeClr w14:val="tx1"/>
            </w14:solidFill>
          </w14:textFill>
        </w:rPr>
      </w:pPr>
    </w:p>
    <w:p>
      <w:pPr>
        <w:pageBreakBefore w:val="0"/>
        <w:widowControl/>
        <w:kinsoku/>
        <w:wordWrap/>
        <w:overflowPunct/>
        <w:topLinePunct w:val="0"/>
        <w:autoSpaceDE/>
        <w:autoSpaceDN/>
        <w:bidi w:val="0"/>
        <w:adjustRightInd w:val="0"/>
        <w:spacing w:line="560" w:lineRule="exact"/>
        <w:ind w:left="0" w:firstLine="320" w:leftChars="0" w:firstLineChars="100"/>
        <w:jc w:val="both"/>
        <w:textAlignment w:val="auto"/>
        <w:rPr>
          <w:rFonts w:ascii="楷体_GB2312" w:eastAsia="楷体_GB2312" w:hAnsi="楷体_GB2312" w:cs="楷体_GB2312" w:hint="eastAsia"/>
          <w:color w:val="000000" w:themeColor="text1"/>
          <w:kern w:val="0"/>
          <w:sz w:val="32"/>
          <w:szCs w:val="32"/>
          <w14:textFill>
            <w14:solidFill>
              <w14:schemeClr w14:val="tx1"/>
            </w14:solidFill>
          </w14:textFill>
        </w:rPr>
      </w:pPr>
      <w:r>
        <w:rPr>
          <w:rFonts w:ascii="仿宋" w:eastAsia="仿宋" w:hAnsi="仿宋" w:cs="宋体" w:hint="eastAsia"/>
          <w:color w:val="000000" w:themeColor="text1"/>
          <w:kern w:val="0"/>
          <w:sz w:val="32"/>
          <w:szCs w:val="32"/>
          <w14:textFill>
            <w14:solidFill>
              <w14:schemeClr w14:val="tx1"/>
            </w14:solidFill>
          </w14:textFill>
        </w:rPr>
        <w:t xml:space="preserve">刚生发〔202</w:t>
      </w:r>
      <w:r>
        <w:rPr>
          <w:rFonts w:ascii="仿宋" w:eastAsia="仿宋" w:hAnsi="仿宋" w:cs="宋体" w:hint="eastAsia"/>
          <w:color w:val="000000" w:themeColor="text1"/>
          <w:kern w:val="0"/>
          <w:sz w:val="32"/>
          <w:szCs w:val="32"/>
          <w:lang w:val="en-US" w:eastAsia="zh-CN"/>
          <w14:textFill>
            <w14:solidFill>
              <w14:schemeClr w14:val="tx1"/>
            </w14:solidFill>
          </w14:textFill>
        </w:rPr>
        <w:t xml:space="preserve">1</w:t>
      </w:r>
      <w:r>
        <w:rPr>
          <w:rFonts w:ascii="仿宋" w:eastAsia="仿宋" w:hAnsi="仿宋" w:cs="宋体" w:hint="eastAsia"/>
          <w:color w:val="000000" w:themeColor="text1"/>
          <w:kern w:val="0"/>
          <w:sz w:val="32"/>
          <w:szCs w:val="32"/>
          <w14:textFill>
            <w14:solidFill>
              <w14:schemeClr w14:val="tx1"/>
            </w14:solidFill>
          </w14:textFill>
        </w:rPr>
        <w:t xml:space="preserve">〕</w:t>
      </w:r>
      <w:r>
        <w:rPr>
          <w:rFonts w:ascii="仿宋" w:eastAsia="仿宋" w:hAnsi="仿宋" w:cs="宋体" w:hint="eastAsia"/>
          <w:color w:val="000000" w:themeColor="text1"/>
          <w:kern w:val="0"/>
          <w:sz w:val="32"/>
          <w:szCs w:val="32"/>
          <w:lang w:val="en-US" w:eastAsia="zh-CN"/>
          <w14:textFill>
            <w14:solidFill>
              <w14:schemeClr w14:val="tx1"/>
            </w14:solidFill>
          </w14:textFill>
        </w:rPr>
        <w:t xml:space="preserve">4</w:t>
      </w:r>
      <w:r>
        <w:rPr>
          <w:rFonts w:ascii="仿宋" w:eastAsia="仿宋" w:hAnsi="仿宋" w:cs="宋体" w:hint="eastAsia"/>
          <w:color w:val="000000" w:themeColor="text1"/>
          <w:kern w:val="0"/>
          <w:sz w:val="32"/>
          <w:szCs w:val="32"/>
          <w14:textFill>
            <w14:solidFill>
              <w14:schemeClr w14:val="tx1"/>
            </w14:solidFill>
          </w14:textFill>
        </w:rPr>
        <w:t xml:space="preserve">号    </w:t>
      </w:r>
      <w:r>
        <w:rPr>
          <w:rFonts w:ascii="仿宋" w:eastAsia="仿宋" w:hAnsi="仿宋" w:cs="宋体" w:hint="eastAsia"/>
          <w:color w:val="000000" w:themeColor="text1"/>
          <w:kern w:val="0"/>
          <w:sz w:val="32"/>
          <w:szCs w:val="32"/>
          <w:lang w:val="en-US" w:eastAsia="zh-CN"/>
          <w14:textFill>
            <w14:solidFill>
              <w14:schemeClr w14:val="tx1"/>
            </w14:solidFill>
          </w14:textFill>
        </w:rPr>
        <w:t xml:space="preserve">     </w:t>
      </w:r>
      <w:r>
        <w:rPr>
          <w:rFonts w:ascii="仿宋" w:eastAsia="仿宋" w:hAnsi="仿宋" w:cs="宋体" w:hint="eastAsia"/>
          <w:color w:val="000000" w:themeColor="text1"/>
          <w:kern w:val="0"/>
          <w:sz w:val="32"/>
          <w:szCs w:val="32"/>
          <w14:textFill>
            <w14:solidFill>
              <w14:schemeClr w14:val="tx1"/>
            </w14:solidFill>
          </w14:textFill>
        </w:rPr>
        <w:t xml:space="preserve">    </w:t>
      </w:r>
      <w:r>
        <w:rPr>
          <w:rFonts w:ascii="仿宋" w:eastAsia="仿宋" w:hAnsi="仿宋" w:cs="宋体" w:hint="eastAsia"/>
          <w:color w:val="000000" w:themeColor="text1"/>
          <w:kern w:val="0"/>
          <w:sz w:val="32"/>
          <w:szCs w:val="32"/>
          <w:lang w:val="en-US" w:eastAsia="zh-CN"/>
          <w14:textFill>
            <w14:solidFill>
              <w14:schemeClr w14:val="tx1"/>
            </w14:solidFill>
          </w14:textFill>
        </w:rPr>
        <w:t xml:space="preserve">  </w:t>
      </w:r>
      <w:r>
        <w:rPr>
          <w:rFonts w:ascii="仿宋" w:eastAsia="仿宋" w:hAnsi="仿宋" w:cs="宋体" w:hint="eastAsia"/>
          <w:color w:val="000000" w:themeColor="text1"/>
          <w:kern w:val="0"/>
          <w:sz w:val="32"/>
          <w:szCs w:val="32"/>
          <w14:textFill>
            <w14:solidFill>
              <w14:schemeClr w14:val="tx1"/>
            </w14:solidFill>
          </w14:textFill>
        </w:rPr>
        <w:t xml:space="preserve">     签发人：</w:t>
      </w:r>
      <w:r>
        <w:rPr>
          <w:rFonts w:ascii="楷体_GB2312" w:eastAsia="楷体_GB2312" w:hAnsi="楷体_GB2312" w:cs="楷体_GB2312" w:hint="eastAsia"/>
          <w:color w:val="000000" w:themeColor="text1"/>
          <w:kern w:val="0"/>
          <w:sz w:val="32"/>
          <w:szCs w:val="32"/>
          <w14:textFill>
            <w14:solidFill>
              <w14:schemeClr w14:val="tx1"/>
            </w14:solidFill>
          </w14:textFill>
        </w:rPr>
        <w:t xml:space="preserve">李旦忠</w:t>
      </w:r>
    </w:p>
    <w:p>
      <w:pPr>
        <w:pStyle w:val="BodyTex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lang w:val="en-US" w:eastAsia="zh-CN"/>
        </w:rPr>
        <w:t xml:space="preserve">刚察县</w:t>
      </w:r>
      <w:r>
        <w:rPr>
          <w:rFonts w:ascii="方正小标宋简体" w:eastAsia="方正小标宋简体" w:hAnsi="方正小标宋简体" w:cs="方正小标宋简体" w:hint="eastAsia"/>
          <w:sz w:val="44"/>
          <w:szCs w:val="44"/>
        </w:rPr>
        <w:t xml:space="preserve">生态环境局</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 xml:space="preserve">关于</w:t>
      </w:r>
      <w:r>
        <w:rPr>
          <w:rFonts w:ascii="方正小标宋简体" w:eastAsia="方正小标宋简体" w:hAnsi="方正小标宋简体" w:cs="方正小标宋简体" w:hint="eastAsia"/>
          <w:sz w:val="44"/>
          <w:szCs w:val="44"/>
          <w:lang w:val="en-US" w:eastAsia="zh-CN"/>
        </w:rPr>
        <w:t xml:space="preserve">海北瑶池相会生物科技有限公司青稞藏酩馏酿造小作坊项目</w:t>
      </w:r>
      <w:r>
        <w:rPr>
          <w:rFonts w:ascii="方正小标宋简体" w:eastAsia="方正小标宋简体" w:hAnsi="方正小标宋简体" w:cs="方正小标宋简体" w:hint="eastAsia"/>
          <w:sz w:val="44"/>
          <w:szCs w:val="44"/>
        </w:rPr>
        <w:t xml:space="preserve">环境影响报告书的批复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_GB2312" w:eastAsia="仿宋_GB2312" w:hAnsi="仿宋_GB2312" w:cs="仿宋_GB2312" w:hint="eastAsia"/>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 xml:space="preserve">海北瑶池相会生物科技有限公司: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 xml:space="preserve">你单位《关于申请审批&lt;海北瑶池相会生物科技有限公司青稞藏酩馏酿造小作坊项目环境影响报告书&gt;的请示》(〔20〕号)悉。经研究，批复如下: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仿宋_GB2312" w:cs="仿宋_GB2312" w:hint="eastAsia"/>
          <w:sz w:val="32"/>
          <w:szCs w:val="32"/>
          <w:lang w:val="en-US" w:eastAsia="zh-CN"/>
        </w:rPr>
      </w:pPr>
      <w:r>
        <w:rPr>
          <w:rFonts w:ascii="黑体" w:eastAsia="黑体" w:hAnsi="黑体" w:cs="黑体" w:hint="eastAsia"/>
          <w:sz w:val="32"/>
          <w:szCs w:val="32"/>
          <w:lang w:val="en-US" w:eastAsia="zh-CN"/>
        </w:rPr>
        <w:t xml:space="preserve">一</w:t>
      </w:r>
      <w:r>
        <w:rPr>
          <w:rFonts w:ascii="仿宋_GB2312" w:eastAsia="仿宋_GB2312" w:hAnsi="仿宋_GB2312" w:cs="仿宋_GB2312" w:hint="eastAsia"/>
          <w:sz w:val="32"/>
          <w:szCs w:val="32"/>
          <w:lang w:val="en-US" w:eastAsia="zh-CN"/>
        </w:rPr>
        <w:t xml:space="preserve">、拟建项目(项目行业代码为:C1512 白酒制造类)位于刚察县东大街畜产品加工（扶贫） 产业园内,租赁青海浦利鑫农牧科技有限公司已建厂房进行生产办公，总投资680万元，新建青稞酩馏酒酿造生产线,配套建设相关公辅工程，包括供水供电及污水处理站（日处理规模 10m</w:t>
      </w:r>
      <w:r>
        <w:rPr>
          <w:rFonts w:ascii="仿宋_GB2312" w:eastAsia="仿宋_GB2312" w:hAnsi="仿宋_GB2312" w:cs="仿宋_GB2312" w:hint="eastAsia"/>
          <w:sz w:val="32"/>
          <w:szCs w:val="32"/>
          <w:vertAlign w:val="superscript"/>
          <w:lang w:val="en-US" w:eastAsia="zh-CN"/>
        </w:rPr>
        <w:t xml:space="preserve">3</w:t>
      </w:r>
      <w:r>
        <w:rPr>
          <w:rFonts w:ascii="仿宋_GB2312" w:eastAsia="仿宋_GB2312" w:hAnsi="仿宋_GB2312" w:cs="仿宋_GB2312" w:hint="eastAsia"/>
          <w:sz w:val="32"/>
          <w:szCs w:val="32"/>
          <w:lang w:val="en-US" w:eastAsia="zh-CN"/>
        </w:rPr>
        <w:t xml:space="preserve">/d）等，项目建成后可实现生产传统青稞酩馏酒500t/a的生产能力。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仿宋_GB2312" w:cs="仿宋_GB2312" w:hint="eastAsia"/>
          <w:sz w:val="32"/>
          <w:szCs w:val="32"/>
          <w:lang w:val="en-US" w:eastAsia="zh-CN"/>
        </w:rPr>
      </w:pPr>
      <w:r>
        <w:rPr>
          <w:rFonts w:ascii="黑体" w:eastAsia="黑体" w:hAnsi="黑体" w:cs="黑体" w:hint="eastAsia"/>
          <w:sz w:val="32"/>
          <w:szCs w:val="32"/>
          <w:lang w:val="en-US" w:eastAsia="zh-CN"/>
        </w:rPr>
        <w:t xml:space="preserve">二</w:t>
      </w:r>
      <w:r>
        <w:rPr>
          <w:rFonts w:ascii="仿宋_GB2312" w:eastAsia="仿宋_GB2312" w:hAnsi="仿宋_GB2312" w:cs="仿宋_GB2312" w:hint="eastAsia"/>
          <w:sz w:val="32"/>
          <w:szCs w:val="32"/>
          <w:lang w:val="en-US" w:eastAsia="zh-CN"/>
        </w:rPr>
        <w:t xml:space="preserve">、项目符合刚察县生态畜牧业专业合作社畜产品加工（扶贫）产业园规划和规划环评要求，以及国家发展的相关政策。我局原则同意环境影响报告书中所列建设项目的性质、规模、工艺、地点和拟采取的环境保护措施。你单位须全面落实报告书提出的各项生态环境保护和污染防治措施，最大程度缓解和控制项目对生态环境的不利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sz w:val="32"/>
          <w:szCs w:val="32"/>
          <w:lang w:val="en-US" w:eastAsia="zh-CN"/>
        </w:rPr>
      </w:pPr>
      <w:r>
        <w:rPr>
          <w:rFonts w:ascii="黑体" w:eastAsia="黑体" w:hAnsi="黑体" w:cs="黑体" w:hint="eastAsia"/>
          <w:sz w:val="32"/>
          <w:szCs w:val="32"/>
          <w:lang w:val="en-US" w:eastAsia="zh-CN"/>
        </w:rPr>
        <w:t xml:space="preserve">三</w:t>
      </w:r>
      <w:r>
        <w:rPr>
          <w:rFonts w:ascii="仿宋_GB2312" w:eastAsia="仿宋_GB2312" w:hAnsi="仿宋_GB2312" w:cs="仿宋_GB2312" w:hint="eastAsia"/>
          <w:sz w:val="32"/>
          <w:szCs w:val="32"/>
          <w:lang w:val="en-US" w:eastAsia="zh-CN"/>
        </w:rPr>
        <w:t xml:space="preserve">、项目建设及生产管理中应重点做好以下工作：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sz w:val="32"/>
          <w:szCs w:val="32"/>
          <w:lang w:val="en-US" w:eastAsia="zh-CN"/>
        </w:rPr>
      </w:pPr>
      <w:r>
        <w:rPr>
          <w:rFonts w:ascii="楷体_GB2312" w:eastAsia="楷体_GB2312" w:hAnsi="楷体_GB2312" w:cs="楷体_GB2312" w:hint="eastAsia"/>
          <w:sz w:val="32"/>
          <w:szCs w:val="32"/>
          <w:lang w:val="en-US" w:eastAsia="zh-CN"/>
        </w:rPr>
        <w:t xml:space="preserve">（一）严格落实生态环境保护和恢复措施</w:t>
      </w:r>
      <w:r>
        <w:rPr>
          <w:rFonts w:ascii="仿宋_GB2312" w:eastAsia="仿宋_GB2312" w:hAnsi="仿宋_GB2312" w:cs="仿宋_GB2312" w:hint="eastAsia"/>
          <w:sz w:val="32"/>
          <w:szCs w:val="32"/>
          <w:lang w:val="en-US" w:eastAsia="zh-CN"/>
        </w:rPr>
        <w:t xml:space="preserve">。</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 xml:space="preserve"> 施工过程中应尽量保持临时占地土壤原状，尤其是表层土应单独堆放，用于植被恢复。并且在施工期做好周边的绿化，减少施工期对周边的影响。项目建成后，应加大绿化和植被恢复。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sz w:val="32"/>
          <w:szCs w:val="32"/>
          <w:lang w:val="en-US" w:eastAsia="zh-CN"/>
        </w:rPr>
      </w:pPr>
      <w:r>
        <w:rPr>
          <w:rFonts w:ascii="楷体_GB2312" w:eastAsia="楷体_GB2312" w:hAnsi="楷体_GB2312" w:cs="楷体_GB2312" w:hint="eastAsia"/>
          <w:sz w:val="32"/>
          <w:szCs w:val="32"/>
          <w:lang w:val="en-US" w:eastAsia="zh-CN"/>
        </w:rPr>
        <w:t xml:space="preserve">(二)严格落实固体废物处理措施。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 xml:space="preserve">施工期工程废料将其分类收集后能回用的外售至废品回收站，不能回用的部分清运至政府部门指定地点进行处置；施工人员生活垃圾袋装收集后交由环卫部门统一清运处置。</w:t>
      </w:r>
    </w:p>
    <w:p>
      <w:pPr>
        <w:pStyle w:val="annotationtext"/>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kern w:val="2"/>
          <w:sz w:val="32"/>
          <w:szCs w:val="32"/>
          <w:lang w:val="en-US" w:eastAsia="zh-CN" w:bidi="ar-SA"/>
        </w:rPr>
      </w:pPr>
      <w:r>
        <w:rPr>
          <w:rFonts w:ascii="仿宋_GB2312" w:eastAsia="仿宋_GB2312" w:hAnsi="仿宋_GB2312" w:cs="仿宋_GB2312" w:hint="eastAsia"/>
          <w:kern w:val="2"/>
          <w:sz w:val="32"/>
          <w:szCs w:val="32"/>
          <w:lang w:val="en-US" w:eastAsia="zh-CN" w:bidi="ar-SA"/>
        </w:rPr>
        <w:t xml:space="preserve">营运期固体废物分选产生的废渣、制酒后的酒槽、粉碎过程布袋除尘器收集的粉尘作为饲料出售，酒槽要求日产日清，不在厂区堆存；废包装材料，收集后外售至废品回收站；污水处理站污泥，委托环卫部门定期抽吸清运处理；生活垃圾由垃圾桶分类收集后交由环卫部门及时清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sz w:val="32"/>
          <w:szCs w:val="32"/>
          <w:lang w:val="en-US" w:eastAsia="zh-CN"/>
        </w:rPr>
      </w:pPr>
      <w:r>
        <w:rPr>
          <w:rFonts w:ascii="楷体_GB2312" w:eastAsia="楷体_GB2312" w:hAnsi="楷体_GB2312" w:cs="楷体_GB2312" w:hint="eastAsia"/>
          <w:sz w:val="32"/>
          <w:szCs w:val="32"/>
          <w:lang w:val="en-US" w:eastAsia="zh-CN"/>
        </w:rPr>
        <w:t xml:space="preserve">（三）严格落实地表水环境保护措施</w:t>
      </w:r>
      <w:r>
        <w:rPr>
          <w:rFonts w:ascii="仿宋_GB2312" w:eastAsia="仿宋_GB2312" w:hAnsi="仿宋_GB2312" w:cs="仿宋_GB2312" w:hint="eastAsia"/>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_GB2312" w:eastAsia="仿宋_GB2312" w:hAnsi="仿宋_GB2312" w:cs="仿宋_GB2312" w:hint="eastAsia"/>
          <w:kern w:val="2"/>
          <w:sz w:val="32"/>
          <w:szCs w:val="32"/>
          <w:lang w:val="en-US" w:eastAsia="zh-CN" w:bidi="ar-SA"/>
        </w:rPr>
      </w:pPr>
      <w:r>
        <w:rPr>
          <w:rFonts w:ascii="仿宋_GB2312" w:eastAsia="仿宋_GB2312" w:hAnsi="仿宋_GB2312" w:cs="仿宋_GB2312" w:hint="eastAsia"/>
          <w:sz w:val="32"/>
          <w:szCs w:val="32"/>
          <w:lang w:val="en-US" w:eastAsia="zh-CN"/>
        </w:rPr>
        <w:t xml:space="preserve">     </w:t>
      </w:r>
      <w:r>
        <w:rPr>
          <w:rFonts w:ascii="仿宋_GB2312" w:eastAsia="仿宋_GB2312" w:hAnsi="仿宋_GB2312" w:cs="仿宋_GB2312" w:hint="eastAsia"/>
          <w:kern w:val="2"/>
          <w:sz w:val="32"/>
          <w:szCs w:val="32"/>
          <w:lang w:val="en-US" w:eastAsia="zh-CN" w:bidi="ar-SA"/>
        </w:rPr>
        <w:t xml:space="preserve"> 本项目锅底水收集后用于发酵工序和泥密封发酵缸，不外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_GB2312" w:eastAsia="仿宋_GB2312" w:hAnsi="仿宋_GB2312" w:cs="仿宋_GB2312" w:hint="eastAsia"/>
          <w:kern w:val="2"/>
          <w:sz w:val="32"/>
          <w:szCs w:val="32"/>
          <w:lang w:val="en-US" w:eastAsia="zh-CN" w:bidi="ar-SA"/>
        </w:rPr>
      </w:pPr>
      <w:r>
        <w:rPr>
          <w:rFonts w:ascii="仿宋_GB2312" w:eastAsia="仿宋_GB2312" w:hAnsi="仿宋_GB2312" w:cs="仿宋_GB2312" w:hint="eastAsia"/>
          <w:kern w:val="2"/>
          <w:sz w:val="32"/>
          <w:szCs w:val="32"/>
          <w:lang w:val="en-US" w:eastAsia="zh-CN" w:bidi="ar-SA"/>
        </w:rPr>
        <w:t xml:space="preserve">排。项目外排废水主要包括生活污水及生产废水。生产废水主要为实验废水、设备清洗废水、洗瓶废水及锅炉排污水，收集后经自建一体化污水处理系统处理达《发酵酒精和白酒工业水污染物排放标准》（GB27631-2011）表 2 新建企业水污染物间接排放限值后排入市政污水管网，进入刚察县污水处理厂。生活污水经化粪池预处理后通过排入城镇污水管网。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320" w:leftChars="200" w:firstLineChars="100"/>
        <w:textAlignment w:val="auto"/>
        <w:rPr>
          <w:rFonts w:ascii="仿宋_GB2312" w:eastAsia="仿宋_GB2312" w:hAnsi="仿宋_GB2312" w:cs="仿宋_GB2312" w:hint="eastAsia"/>
          <w:sz w:val="32"/>
          <w:szCs w:val="32"/>
          <w:lang w:val="en-US" w:eastAsia="zh-CN"/>
        </w:rPr>
      </w:pPr>
      <w:r>
        <w:rPr>
          <w:rFonts w:ascii="楷体_GB2312" w:eastAsia="楷体_GB2312" w:hAnsi="楷体_GB2312" w:cs="楷体_GB2312" w:hint="eastAsia"/>
          <w:sz w:val="32"/>
          <w:szCs w:val="32"/>
          <w:lang w:val="en-US" w:eastAsia="zh-CN"/>
        </w:rPr>
        <w:t xml:space="preserve">（四）加强地下水污染防治工作。</w:t>
      </w:r>
      <w:r>
        <w:rPr>
          <w:rFonts w:ascii="仿宋_GB2312" w:eastAsia="仿宋_GB2312" w:hAnsi="仿宋_GB2312" w:cs="仿宋_GB2312" w:hint="eastAsia"/>
          <w:sz w:val="32"/>
          <w:szCs w:val="32"/>
          <w:lang w:val="en-US" w:eastAsia="zh-CN"/>
        </w:rPr>
        <w:t xml:space="preserve"> </w:t>
      </w:r>
    </w:p>
    <w:p>
      <w:pPr>
        <w:pStyle w:val="annotationtext"/>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hAnsi="仿宋_GB2312" w:cs="仿宋_GB2312" w:hint="eastAsia"/>
          <w:kern w:val="2"/>
          <w:sz w:val="32"/>
          <w:szCs w:val="32"/>
          <w:lang w:val="en-US" w:eastAsia="zh-CN" w:bidi="ar-SA"/>
        </w:rPr>
      </w:pPr>
      <w:r>
        <w:rPr>
          <w:rFonts w:ascii="仿宋_GB2312" w:eastAsia="仿宋_GB2312" w:hAnsi="仿宋_GB2312" w:cs="仿宋_GB2312" w:hint="eastAsia"/>
          <w:sz w:val="32"/>
          <w:szCs w:val="32"/>
          <w:lang w:val="en-US" w:eastAsia="zh-CN"/>
        </w:rPr>
        <w:t xml:space="preserve">      </w:t>
      </w:r>
      <w:r>
        <w:rPr>
          <w:rFonts w:ascii="仿宋_GB2312" w:eastAsia="仿宋_GB2312" w:hAnsi="仿宋_GB2312" w:cs="仿宋_GB2312" w:hint="eastAsia"/>
          <w:kern w:val="2"/>
          <w:sz w:val="32"/>
          <w:szCs w:val="32"/>
          <w:lang w:val="en-US" w:eastAsia="zh-CN" w:bidi="ar-SA"/>
        </w:rPr>
        <w:t xml:space="preserve">对厂区进行分区防渗，污水处理站、生产车间、发酵区、酒糟堆放区采取一般防渗，防渗层防渗性能要求不低于1.5米厚渗透系数为1.0×10-7厘米/秒的黏土层防渗性能；办公生活区及厂区道路等，进行一般地面硬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320" w:leftChars="200" w:firstLineChars="100"/>
        <w:textAlignment w:val="auto"/>
        <w:rPr>
          <w:rFonts w:ascii="仿宋_GB2312" w:eastAsia="仿宋_GB2312" w:hAnsi="仿宋_GB2312" w:cs="仿宋_GB2312" w:hint="eastAsia"/>
          <w:sz w:val="32"/>
          <w:szCs w:val="32"/>
          <w:lang w:val="en-US" w:eastAsia="zh-CN"/>
        </w:rPr>
      </w:pPr>
      <w:r>
        <w:rPr>
          <w:rFonts w:ascii="楷体_GB2312" w:eastAsia="楷体_GB2312" w:hAnsi="楷体_GB2312" w:cs="楷体_GB2312" w:hint="eastAsia"/>
          <w:sz w:val="32"/>
          <w:szCs w:val="32"/>
          <w:lang w:val="en-US" w:eastAsia="zh-CN"/>
        </w:rPr>
        <w:t xml:space="preserve">（五）严格落实大气污染防治措施</w:t>
      </w:r>
      <w:r>
        <w:rPr>
          <w:rFonts w:ascii="仿宋_GB2312" w:eastAsia="仿宋_GB2312" w:hAnsi="仿宋_GB2312" w:cs="仿宋_GB2312" w:hint="eastAsia"/>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 xml:space="preserve">     在粉碎机上方设置集气罩对粉碎粉尘进行收集，粉尘收集至布袋除尘器处理后经 15m 排气筒排放。项目为地埋式，通过对污水处理站调节池、生化池、二沉池以及污泥池进行加盖密闭，同时在污水处理站周边进行绿化以减小污水处理站恶臭对环境的影响。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楷体_GB2312" w:eastAsia="楷体_GB2312" w:hAnsi="楷体_GB2312" w:cs="楷体_GB2312" w:hint="eastAsia"/>
          <w:b/>
          <w:color w:val="auto"/>
          <w:sz w:val="32"/>
          <w:szCs w:val="32"/>
        </w:rPr>
      </w:pPr>
      <w:r>
        <w:rPr>
          <w:rFonts w:ascii="楷体_GB2312" w:eastAsia="楷体_GB2312" w:hAnsi="楷体_GB2312" w:cs="楷体_GB2312" w:hint="eastAsia"/>
          <w:sz w:val="32"/>
          <w:szCs w:val="32"/>
          <w:lang w:val="en-US" w:eastAsia="zh-CN"/>
        </w:rPr>
        <w:t xml:space="preserve">（六）严格控制噪声环境影响。</w:t>
      </w:r>
    </w:p>
    <w:p>
      <w:pPr>
        <w:pStyle w:val="annotationtext"/>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kern w:val="2"/>
          <w:sz w:val="32"/>
          <w:szCs w:val="32"/>
          <w:lang w:val="en-US" w:eastAsia="zh-CN" w:bidi="ar-SA"/>
        </w:rPr>
      </w:pPr>
      <w:r>
        <w:rPr>
          <w:rFonts w:ascii="仿宋_GB2312" w:eastAsia="仿宋_GB2312" w:hAnsi="仿宋_GB2312" w:cs="仿宋_GB2312" w:hint="eastAsia"/>
          <w:kern w:val="2"/>
          <w:sz w:val="32"/>
          <w:szCs w:val="32"/>
          <w:lang w:val="en-US" w:eastAsia="zh-CN" w:bidi="ar-SA"/>
        </w:rPr>
        <w:t xml:space="preserve">项目建设和生产期优先选用高效低噪设备，对高噪声设备采用隔声、消声和减振等措施，主厂房设置隔声门窗。建设期噪声排放应满足《建筑施工场界环境噪声排放标准》（GB12523-2011），运营期应满足《工业企业厂界环境噪声排放标准》（GB12348-2008）中的3类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sz w:val="32"/>
          <w:szCs w:val="32"/>
          <w:lang w:val="en-US" w:eastAsia="zh-CN"/>
        </w:rPr>
      </w:pPr>
      <w:r>
        <w:rPr>
          <w:rFonts w:ascii="楷体_GB2312" w:eastAsia="楷体_GB2312" w:hAnsi="楷体_GB2312" w:cs="楷体_GB2312" w:hint="eastAsia"/>
          <w:sz w:val="32"/>
          <w:szCs w:val="32"/>
          <w:lang w:val="en-US" w:eastAsia="zh-CN"/>
        </w:rPr>
        <w:t xml:space="preserve">(七)严格落实企业自行监测及信息公开工作</w:t>
      </w:r>
      <w:r>
        <w:rPr>
          <w:rFonts w:ascii="仿宋_GB2312" w:eastAsia="仿宋_GB2312" w:hAnsi="仿宋_GB2312" w:cs="仿宋_GB2312" w:hint="eastAsia"/>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sz w:val="32"/>
          <w:szCs w:val="32"/>
          <w:lang w:val="en-US" w:eastAsia="zh-CN"/>
        </w:rPr>
      </w:pPr>
      <w:r>
        <w:rPr>
          <w:rFonts w:ascii="黑体" w:eastAsia="黑体" w:hAnsi="黑体" w:cs="黑体" w:hint="eastAsia"/>
          <w:sz w:val="32"/>
          <w:szCs w:val="32"/>
          <w:lang w:val="en-US" w:eastAsia="zh-CN"/>
        </w:rPr>
        <w:t xml:space="preserve">四</w:t>
      </w:r>
      <w:r>
        <w:rPr>
          <w:rFonts w:ascii="仿宋_GB2312" w:eastAsia="仿宋_GB2312" w:hAnsi="仿宋_GB2312" w:cs="仿宋_GB2312" w:hint="eastAsia"/>
          <w:sz w:val="32"/>
          <w:szCs w:val="32"/>
          <w:lang w:val="en-US" w:eastAsia="zh-CN"/>
        </w:rPr>
        <w:t xml:space="preserve">、你公司应认真履行项目实施中各环节的环保主体责任，监督指导项目设计和施工单位认真落实项目环评及批复提出的各项要求，严格执行环保设施与主体工程同时设计、同时施工、同时投入运行的“三同时”制度，确保生态环保措施及设施落到实处。项目建成后，按规定及时组织项目竣工环境保护验收，经验收合格后，方能正式投入运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sz w:val="32"/>
          <w:szCs w:val="32"/>
          <w:lang w:val="en-US" w:eastAsia="zh-CN"/>
        </w:rPr>
      </w:pPr>
      <w:r>
        <w:rPr>
          <w:rFonts w:ascii="黑体" w:eastAsia="黑体" w:hAnsi="黑体" w:cs="黑体" w:hint="eastAsia"/>
          <w:sz w:val="32"/>
          <w:szCs w:val="32"/>
          <w:lang w:val="en-US" w:eastAsia="zh-CN"/>
        </w:rPr>
        <w:t xml:space="preserve">五</w:t>
      </w:r>
      <w:r>
        <w:rPr>
          <w:rFonts w:ascii="仿宋_GB2312" w:eastAsia="仿宋_GB2312" w:hAnsi="仿宋_GB2312" w:cs="仿宋_GB2312" w:hint="eastAsia"/>
          <w:sz w:val="32"/>
          <w:szCs w:val="32"/>
          <w:lang w:val="en-US" w:eastAsia="zh-CN"/>
        </w:rPr>
        <w:t xml:space="preserve">、该项目环境影响报告书批准后，如工程性质、规模、地点或者污染防治、生态保护措施等发生重大变动，你公司应重新报批环境影响报告书。自环境影响报告书批复文件批准之日起，如超过5年方开工建设，环境影响报告书应当重新报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sz w:val="32"/>
          <w:szCs w:val="32"/>
          <w:lang w:val="en-US" w:eastAsia="zh-CN"/>
        </w:rPr>
      </w:pPr>
      <w:r>
        <w:rPr>
          <w:rFonts w:ascii="黑体" w:eastAsia="黑体" w:hAnsi="黑体" w:cs="黑体" w:hint="eastAsia"/>
          <w:sz w:val="32"/>
          <w:szCs w:val="32"/>
          <w:lang w:val="en-US" w:eastAsia="zh-CN"/>
        </w:rPr>
        <w:t xml:space="preserve">六</w:t>
      </w:r>
      <w:r>
        <w:rPr>
          <w:rFonts w:ascii="仿宋_GB2312" w:eastAsia="仿宋_GB2312" w:hAnsi="仿宋_GB2312" w:cs="仿宋_GB2312" w:hint="eastAsia"/>
          <w:sz w:val="32"/>
          <w:szCs w:val="32"/>
          <w:lang w:val="en-US" w:eastAsia="zh-CN"/>
        </w:rPr>
        <w:t xml:space="preserve">、刚察县生态环境局负责项目建设期的环境保护监督检查工作。你公司在接到本批复后20个工作日内，应将批复原文和项目环境影响报告书送我局，并按规定接受各级生态环境部门的监督检查 。</w:t>
      </w:r>
    </w:p>
    <w:p>
      <w:pPr>
        <w:ind w:firstLine="4800" w:firstLineChars="1500"/>
        <w:jc w:val="both"/>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 xml:space="preserve"> </w:t>
      </w:r>
    </w:p>
    <w:p>
      <w:pPr>
        <w:ind w:firstLine="5120" w:firstLineChars="1600"/>
        <w:jc w:val="both"/>
        <w:rPr>
          <w:rFonts w:ascii="仿宋_GB2312" w:eastAsia="仿宋_GB2312" w:hAnsi="仿宋_GB2312" w:cs="仿宋_GB2312" w:hint="eastAsia"/>
          <w:sz w:val="32"/>
          <w:szCs w:val="32"/>
          <w:lang w:val="en-US" w:eastAsia="zh-CN"/>
        </w:rPr>
      </w:pPr>
      <w:bookmarkStart w:id="0" w:name="_GoBack"/>
      <w:bookmarkEnd w:id="0"/>
      <w:r>
        <w:rPr>
          <w:rFonts w:ascii="仿宋_GB2312" w:eastAsia="仿宋_GB2312" w:hAnsi="仿宋_GB2312" w:cs="仿宋_GB2312" w:hint="eastAsia"/>
          <w:sz w:val="32"/>
          <w:szCs w:val="32"/>
          <w:lang w:val="en-US" w:eastAsia="zh-CN"/>
        </w:rPr>
        <w:t xml:space="preserve">刚察县生态环境局</w:t>
      </w:r>
    </w:p>
    <w:p>
      <w:pPr>
        <w:pStyle w:val="BodyText"/>
        <w:ind w:firstLine="5120" w:firstLineChars="1600"/>
        <w:jc w:val="both"/>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 xml:space="preserve">2021年1月25日</w:t>
      </w:r>
    </w:p>
    <w:p>
      <w:pPr>
        <w:pageBreakBefore w:val="0"/>
        <w:widowControl w:val="0"/>
        <w:kinsoku/>
        <w:wordWrap/>
        <w:overflowPunct/>
        <w:topLinePunct w:val="0"/>
        <w:autoSpaceDE/>
        <w:autoSpaceDN/>
        <w:bidi w:val="0"/>
        <w:adjustRightInd w:val="0"/>
        <w:snapToGrid w:val="0"/>
        <w:spacing w:line="560" w:lineRule="exact"/>
        <w:jc w:val="left"/>
        <w:textAlignment w:val="auto"/>
        <w:rPr>
          <w:rFonts w:ascii="仿宋_GB2312" w:eastAsia="仿宋_GB2312" w:hAnsi="仿宋_GB2312" w:cs="仿宋_GB2312" w:hint="eastAsia"/>
          <w:color w:val="000000" w:themeColor="text1"/>
          <w:spacing w:val="-4"/>
          <w:kern w:val="0"/>
          <w:sz w:val="32"/>
          <w:szCs w:val="32"/>
          <w14:textFill>
            <w14:solidFill>
              <w14:schemeClr w14:val="tx1"/>
            </w14:solidFill>
          </w14:textFill>
        </w:rPr>
      </w:pPr>
    </w:p>
    <w:p>
      <w:pPr>
        <w:pageBreakBefore w:val="0"/>
        <w:widowControl w:val="0"/>
        <w:kinsoku/>
        <w:wordWrap/>
        <w:overflowPunct/>
        <w:topLinePunct w:val="0"/>
        <w:autoSpaceDE/>
        <w:autoSpaceDN/>
        <w:bidi w:val="0"/>
        <w:adjustRightInd w:val="0"/>
        <w:snapToGrid w:val="0"/>
        <w:spacing w:line="560" w:lineRule="exact"/>
        <w:jc w:val="left"/>
        <w:textAlignment w:val="auto"/>
        <w:rPr>
          <w:rFonts w:ascii="仿宋" w:eastAsia="仿宋" w:hAnsi="仿宋" w:cs="宋体"/>
          <w:color w:val="000000" w:themeColor="text1"/>
          <w:spacing w:val="-4"/>
          <w:kern w:val="0"/>
          <w:sz w:val="32"/>
          <w:szCs w:val="32"/>
          <w14:textFill>
            <w14:solidFill>
              <w14:schemeClr w14:val="tx1"/>
            </w14:solidFill>
          </w14:textFill>
        </w:rPr>
      </w:pPr>
      <w:r>
        <w:rPr>
          <w:rFonts w:ascii="仿宋" w:eastAsia="仿宋" w:hAnsi="仿宋" w:cs="宋体" w:hint="eastAsia"/>
          <w:color w:val="000000" w:themeColor="text1"/>
          <w:spacing w:val="-4"/>
          <w:kern w:val="0"/>
          <w:sz w:val="32"/>
          <w:szCs w:val="32"/>
          <w14:textFill>
            <w14:solidFill>
              <w14:schemeClr w14:val="tx1"/>
            </w14:solidFill>
          </w14:textFill>
        </w:rPr>
        <w:t xml:space="preserve">信息宜公开选项：宜公开。</w:t>
      </w:r>
    </w:p>
    <w:p>
      <w:pPr>
        <w:pageBreakBefore w:val="0"/>
        <w:widowControl w:val="0"/>
        <w:kinsoku/>
        <w:wordWrap/>
        <w:overflowPunct/>
        <w:topLinePunct w:val="0"/>
        <w:autoSpaceDE/>
        <w:autoSpaceDN/>
        <w:bidi w:val="0"/>
        <w:spacing w:line="560" w:lineRule="exact"/>
        <w:jc w:val="left"/>
        <w:textAlignment w:val="auto"/>
        <w:rPr>
          <w:rFonts w:ascii="仿宋_GB2312" w:eastAsia="仿宋_GB2312" w:hAnsi="仿宋_GB2312" w:cs="仿宋_GB2312" w:hint="default"/>
          <w:sz w:val="32"/>
          <w:szCs w:val="32"/>
          <w:lang w:val="en-US" w:eastAsia="zh-CN"/>
        </w:rPr>
      </w:pPr>
      <w:r>
        <w:rPr>
          <w:rFonts w:ascii="宋体" w:eastAsia="宋体" w:hAnsi="宋体" w:cs="宋体"/>
          <w:color w:val="000000" w:themeColor="text1"/>
          <w:kern w:val="0"/>
          <w:sz w:val="24"/>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436245</wp:posOffset>
                </wp:positionV>
                <wp:extent cx="5486400" cy="0"/>
                <wp:effectExtent l="0" t="9525" r="0" b="9525"/>
                <wp:wrapNone/>
                <wp:docPr id="4" name="_x0000_s0007"/>
                <wp:cNvGraphicFramePr>
                  <a:graphicFrameLocks xmlns:a="http://schemas.openxmlformats.org/drawingml/2006/main" noChangeAspect="0"/>
                </wp:cNvGraphicFramePr>
                <a:graphic xmlns:a="http://schemas.openxmlformats.org/drawingml/2006/main">
                  <a:graphicData uri="http://schemas.microsoft.com/office/word/2010/wordprocessingShape">
                    <wps:wsp>
                      <wps:cNvSpPr/>
                      <wps:spPr>
                        <a:xfrm>
                          <a:off x="0" y="0"/>
                          <a:ext cx="5486400" cy="0"/>
                        </a:xfrm>
                        <a:prstGeom prst="line">
                          <a:avLst/>
                        </a:prstGeom>
                        <a:noFill/>
                        <a:ln w="19050" cap="flat" cmpd="sng">
                          <a:solidFill>
                            <a:srgbClr val="000000"/>
                          </a:solidFill>
                          <a:prstDash val="solid"/>
                          <a:round/>
                          <a:headEnd type="none" len="med" w="med"/>
                          <a:tailEnd type="none" len="med" w="med"/>
                        </a:ln>
                      </wps:spPr>
                      <wps:bodyPr rot="0" spcFirstLastPara="0" vertOverflow="overflow" horzOverflow="overflow" vert="horz" wrap="square" lIns="91440" tIns="45720" rIns="91440" bIns="45720" anchor="t" upright="1">
                        <a:noAutofit/>
                      </wps:bodyPr>
                    </wps:wsp>
                  </a:graphicData>
                </a:graphic>
              </wp:anchor>
            </w:drawing>
          </mc:Choice>
          <mc:Fallback>
            <w:pict>
              <v:line id="_x0000_s0007" o:spid="_x0000_s0010" style="mso-height-relative:page;mso-width-relative:page;mso-wrap-distance-bottom:0;mso-wrap-distance-left:9pt;mso-wrap-distance-right:9pt;mso-wrap-distance-top:0;mso-wrap-style:square;position:absolute;v-text-anchor:top;z-index:251658240" from="1.8pt,34.35pt" to="433.8pt,34.35pt" coordsize="21600,21600" stroked="t" strokecolor="#000" strokeweight="1.5pt">
                <v:stroke joinstyle="round" dashstyle="solid" linestyle="single" endcap="flat" startarrow="none" startarrowwidth="medium" startarrowlength="medium" endarrow="none" endarrowwidth="medium" endarrowlength="medium"/>
                <w10:bordertop type="single" width="12"/>
                <w10:borderleft type="single" width="12"/>
                <w10:borderbottom type="single" width="12"/>
                <w10:borderright type="single" width="12"/>
              </v:line>
            </w:pict>
          </mc:Fallback>
        </mc:AlternateContent>
      </w:r>
      <w:r>
        <w:rPr>
          <w:rFonts w:ascii="宋体" w:eastAsia="宋体" w:hAnsi="宋体" w:cs="宋体"/>
          <w:color w:val="000000" w:themeColor="text1"/>
          <w:kern w:val="0"/>
          <w:sz w:val="24"/>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5" name="_x0000_s0008"/>
                <wp:cNvGraphicFramePr>
                  <a:graphicFrameLocks xmlns:a="http://schemas.openxmlformats.org/drawingml/2006/main" noChangeAspect="0"/>
                </wp:cNvGraphicFramePr>
                <a:graphic xmlns:a="http://schemas.openxmlformats.org/drawingml/2006/main">
                  <a:graphicData uri="http://schemas.microsoft.com/office/word/2010/wordprocessingShape">
                    <wps:wsp>
                      <wps:cNvSpPr/>
                      <wps:spPr>
                        <a:xfrm>
                          <a:off x="0" y="0"/>
                          <a:ext cx="5486400" cy="0"/>
                        </a:xfrm>
                        <a:prstGeom prst="line">
                          <a:avLst/>
                        </a:prstGeom>
                        <a:noFill/>
                        <a:ln w="19050" cap="flat" cmpd="sng">
                          <a:solidFill>
                            <a:srgbClr val="000000"/>
                          </a:solidFill>
                          <a:prstDash val="solid"/>
                          <a:round/>
                          <a:headEnd type="none" len="med" w="med"/>
                          <a:tailEnd type="none" len="med" w="med"/>
                        </a:ln>
                      </wps:spPr>
                      <wps:bodyPr rot="0" spcFirstLastPara="0" vertOverflow="overflow" horzOverflow="overflow" vert="horz" wrap="square" lIns="91440" tIns="45720" rIns="91440" bIns="45720" anchor="t" upright="1">
                        <a:noAutofit/>
                      </wps:bodyPr>
                    </wps:wsp>
                  </a:graphicData>
                </a:graphic>
              </wp:anchor>
            </w:drawing>
          </mc:Choice>
          <mc:Fallback>
            <w:pict>
              <v:line id="_x0000_s0008" o:spid="_x0000_s0011" style="mso-height-relative:page;mso-width-relative:page;mso-wrap-distance-bottom:0;mso-wrap-distance-left:9pt;mso-wrap-distance-right:9pt;mso-wrap-distance-top:0;mso-wrap-style:square;position:absolute;v-text-anchor:top;z-index:251657216" from="0,0.8pt" to="6in,0.8pt" coordsize="21600,21600" stroked="t" strokecolor="#000" strokeweight="1.5pt">
                <v:stroke joinstyle="round" dashstyle="solid" linestyle="single" endcap="flat" startarrow="none" startarrowwidth="medium" startarrowlength="medium" endarrow="none" endarrowwidth="medium" endarrowlength="medium"/>
                <w10:bordertop type="single" width="12"/>
                <w10:borderleft type="single" width="12"/>
                <w10:borderbottom type="single" width="12"/>
                <w10:borderright type="single" width="12"/>
              </v:line>
            </w:pict>
          </mc:Fallback>
        </mc:AlternateContent>
      </w:r>
      <w:r>
        <w:rPr>
          <w:rFonts w:ascii="仿宋" w:eastAsia="仿宋" w:hAnsi="仿宋" w:cs="宋体" w:hint="eastAsia"/>
          <w:color w:val="000000" w:themeColor="text1"/>
          <w:spacing w:val="-4"/>
          <w:kern w:val="0"/>
          <w:sz w:val="32"/>
          <w:szCs w:val="32"/>
          <w14:textFill>
            <w14:solidFill>
              <w14:schemeClr w14:val="tx1"/>
            </w14:solidFill>
          </w14:textFill>
        </w:rPr>
        <w:t xml:space="preserve">抄送：档。</w:t>
      </w:r>
    </w:p>
    <w:sectPr>
      <w:footerReference w:type="default" r:id="rId4"/>
      <w:pgSz w:w="11906" w:h="16838" w:orient="portrait"/>
      <w:pgMar w:top="2098" w:right="1587" w:bottom="1984" w:left="1474" w:header="851" w:footer="992" w:gutter="0"/>
      <w:cols w:num="1" w:space="425">
        <w:col w:w="8845"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0009"/>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eastAsia="宋体" w:eastAsiaTheme="minorEastAsia"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shape id="_x0000_s0009" o:spid="_x0000_s001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8240"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eastAsia="宋体" w:eastAsiaTheme="minorEastAsia"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asciiTheme="minorHAnsi"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qFormat/>
    <w:rPr/>
  </w:style>
  <w:style w:type="table" w:default="1" w:styleId="TableNormal">
    <w:name w:val="Normal Table"/>
    <w:semiHidden/>
    <w:rPr/>
    <w:tblPr>
      <w:tblCellMar>
        <w:top w:w="0" w:type="dxa"/>
        <w:left w:w="108" w:type="dxa"/>
        <w:bottom w:w="0" w:type="dxa"/>
        <w:right w:w="108" w:type="dxa"/>
      </w:tblCellMar>
    </w:tblPr>
  </w:style>
  <w:style w:type="paragraph" w:styleId="BodyText">
    <w:name w:val="Body Text"/>
    <w:basedOn w:val="Normal"/>
    <w:qFormat/>
    <w:pPr>
      <w:spacing w:after="120"/>
    </w:pPr>
    <w:rPr/>
  </w:style>
  <w:style w:type="paragraph" w:styleId="BodyTextIndent">
    <w:name w:val="Body Text Indent"/>
    <w:basedOn w:val="Normal"/>
    <w:next w:val="Normal"/>
    <w:qFormat/>
    <w:pPr>
      <w:spacing w:after="120"/>
      <w:ind w:left="420" w:leftChars="200"/>
    </w:pPr>
    <w:rPr/>
  </w:style>
  <w:style w:type="paragraph" w:styleId="annotationtext">
    <w:name w:val="annotation text"/>
    <w:basedOn w:val="Normal"/>
    <w:qFormat/>
    <w:pPr>
      <w:jc w:val="left"/>
    </w:pPr>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2052-11.1.0.9739</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189</TotalTime>
  <Pages>1</Pages>
  <Words>0</Words>
  <Characters>0</Characters>
  <Application>WPS Office_11.1.0.9739_F1E327BC-269C-435d-A152-05C5408002CA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cp:lastModifiedBy>
  <cp:revision>1</cp:revision>
  <cp:lastPrinted>2021-01-26T08:27:31Z</cp:lastPrinted>
  <dcterms:created xsi:type="dcterms:W3CDTF">2021-01-12T07:39:00Z</dcterms:created>
  <dcterms:modified xsi:type="dcterms:W3CDTF">2021-01-26T08:30:51Z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2052-11.1.0.9739</vt:lpstr>
  </property>
</Properties>
</file>