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                    </w:t>
      </w:r>
    </w:p>
    <w:p>
      <w:pPr>
        <w:rPr>
          <w:rFonts w:ascii="仿宋_GB2312" w:eastAsia="仿宋_GB2312" w:hint="eastAsia"/>
          <w:sz w:val="32"/>
        </w:rPr>
      </w:pPr>
    </w:p>
    <w:p>
      <w:pPr>
        <w:rPr>
          <w:rFonts w:ascii="仿宋_GB2312" w:eastAsia="仿宋_GB2312" w:hint="eastAsia"/>
          <w:sz w:val="32"/>
        </w:rPr>
      </w:pPr>
    </w:p>
    <w:p>
      <w:pPr>
        <w:rPr>
          <w:rFonts w:ascii="仿宋_GB2312" w:eastAsia="仿宋_GB2312" w:hint="eastAsia"/>
          <w:sz w:val="32"/>
        </w:rPr>
      </w:pPr>
    </w:p>
    <w:p>
      <w:pPr>
        <w:rPr>
          <w:rFonts w:ascii="仿宋_GB2312" w:eastAsia="仿宋_GB2312" w:hint="eastAsia"/>
          <w:sz w:val="32"/>
        </w:rPr>
      </w:pPr>
    </w:p>
    <w:p>
      <w:pPr>
        <w:rPr>
          <w:rFonts w:ascii="仿宋_GB2312" w:eastAsia="仿宋_GB2312" w:hint="eastAsia"/>
          <w:sz w:val="32"/>
        </w:rPr>
      </w:pPr>
    </w:p>
    <w:p>
      <w:pPr>
        <w:rPr>
          <w:rFonts w:ascii="仿宋_GB2312" w:eastAsia="仿宋_GB2312" w:hint="eastAsia"/>
          <w:sz w:val="32"/>
        </w:rPr>
      </w:pPr>
    </w:p>
    <w:p>
      <w:pPr>
        <w:ind w:firstLine="1920" w:firstLineChars="600"/>
        <w:rPr>
          <w:rFonts w:ascii="仿宋_GB2312" w:eastAsia="仿宋_GB2312" w:hint="eastAsia"/>
          <w:sz w:val="32"/>
        </w:rPr>
      </w:pPr>
      <w:bookmarkStart w:id="0" w:name="_GoBack"/>
      <w:bookmarkEnd w:id="0"/>
    </w:p>
    <w:p>
      <w:pPr>
        <w:rPr>
          <w:rFonts w:ascii="仿宋_GB2312" w:eastAsia="仿宋_GB2312" w:hint="eastAsia"/>
          <w:sz w:val="32"/>
        </w:rPr>
      </w:pPr>
    </w:p>
    <w:p>
      <w:pPr>
        <w:rPr>
          <w:rFonts w:ascii="仿宋_GB2312" w:eastAsia="仿宋_GB2312" w:hint="eastAsia"/>
          <w:sz w:val="11"/>
          <w:szCs w:val="11"/>
        </w:rPr>
      </w:pPr>
    </w:p>
    <w:p>
      <w:pPr>
        <w:spacing w:line="600" w:lineRule="exact"/>
        <w:ind w:firstLine="160" w:firstLineChars="5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 xml:space="preserve">刚文体广旅发〔20</w:t>
      </w:r>
      <w:r>
        <w:rPr>
          <w:rFonts w:ascii="仿宋" w:eastAsia="仿宋" w:hAnsi="仿宋" w:hint="eastAsia"/>
          <w:sz w:val="32"/>
          <w:lang w:val="en-US" w:eastAsia="zh-CN"/>
        </w:rPr>
        <w:t xml:space="preserve">22</w:t>
      </w:r>
      <w:r>
        <w:rPr>
          <w:rFonts w:ascii="仿宋" w:eastAsia="仿宋" w:hAnsi="仿宋" w:hint="eastAsia"/>
          <w:sz w:val="32"/>
        </w:rPr>
        <w:t xml:space="preserve">〕</w:t>
      </w:r>
      <w:r>
        <w:rPr>
          <w:rFonts w:ascii="仿宋" w:eastAsia="仿宋" w:hAnsi="仿宋" w:hint="eastAsia"/>
          <w:sz w:val="32"/>
          <w:lang w:val="en-US" w:eastAsia="zh-CN"/>
        </w:rPr>
        <w:t xml:space="preserve">4</w:t>
      </w:r>
      <w:r>
        <w:rPr>
          <w:rFonts w:ascii="仿宋" w:eastAsia="仿宋" w:hAnsi="仿宋" w:hint="eastAsia"/>
          <w:sz w:val="32"/>
        </w:rPr>
        <w:t xml:space="preserve">号            </w:t>
      </w:r>
      <w:r>
        <w:rPr>
          <w:rFonts w:ascii="仿宋" w:eastAsia="仿宋" w:hAnsi="仿宋" w:hint="eastAsia"/>
          <w:sz w:val="32"/>
          <w:lang w:val="en-US" w:eastAsia="zh-CN"/>
        </w:rPr>
        <w:t xml:space="preserve"> </w:t>
      </w:r>
      <w:r>
        <w:rPr>
          <w:rFonts w:ascii="仿宋" w:eastAsia="仿宋" w:hAnsi="仿宋" w:hint="eastAsia"/>
          <w:sz w:val="32"/>
        </w:rPr>
        <w:t xml:space="preserve">  签发人：</w:t>
      </w:r>
      <w:r>
        <w:rPr>
          <w:rFonts w:ascii="楷体" w:eastAsia="楷体" w:hAnsi="楷体" w:cs="楷体" w:hint="eastAsia"/>
          <w:b/>
          <w:bCs/>
          <w:sz w:val="32"/>
        </w:rPr>
        <w:t xml:space="preserve">才  旦</w:t>
      </w:r>
    </w:p>
    <w:p>
      <w:pPr>
        <w:spacing w:line="600" w:lineRule="exact"/>
        <w:ind w:firstLine="160" w:firstLineChars="50"/>
        <w:rPr>
          <w:rFonts w:ascii="楷体_GB2312" w:eastAsia="楷体_GB2312" w:hint="eastAsia"/>
          <w:sz w:val="32"/>
        </w:rPr>
      </w:pPr>
    </w:p>
    <w:p>
      <w:pPr>
        <w:jc w:val="center"/>
        <w:rPr>
          <w:rFonts w:ascii="宋体" w:eastAsia="宋体" w:hAnsi="宋体" w:cs="宋体" w:hint="eastAsia"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sz w:val="44"/>
          <w:szCs w:val="44"/>
          <w:lang w:eastAsia="zh-CN"/>
        </w:rPr>
        <w:t xml:space="preserve">刚察县文体旅游广电局</w:t>
      </w:r>
    </w:p>
    <w:p>
      <w:pPr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宋体" w:eastAsia="宋体" w:hAnsi="宋体" w:cs="宋体" w:hint="eastAsia"/>
          <w:sz w:val="44"/>
          <w:szCs w:val="44"/>
        </w:rPr>
        <w:t xml:space="preserve">关于上报政府信息公开工作年度报告</w:t>
      </w:r>
    </w:p>
    <w:p>
      <w:pPr>
        <w:rPr>
          <w:rFonts w:ascii="仿宋" w:eastAsia="仿宋" w:hAnsi="仿宋" w:cs="仿宋" w:hint="eastAsia"/>
          <w:sz w:val="32"/>
          <w:szCs w:val="32"/>
        </w:rPr>
      </w:pPr>
    </w:p>
    <w:p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县政府电子政务中心： </w:t>
      </w:r>
    </w:p>
    <w:p>
      <w:pPr>
        <w:ind w:firstLine="640" w:firstLineChars="20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根据《中华人民共和国政府信息公开条例》和州政府办公室《关于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转发中华人民共和国政府信息公开工作年度报告格式</w:t>
      </w:r>
      <w:r>
        <w:rPr>
          <w:rFonts w:ascii="仿宋" w:eastAsia="仿宋" w:hAnsi="仿宋" w:cs="仿宋" w:hint="eastAsia"/>
          <w:sz w:val="32"/>
          <w:szCs w:val="32"/>
        </w:rPr>
        <w:t xml:space="preserve">的通知》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（北政办秘〔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2022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〕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1号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）文件</w:t>
      </w:r>
      <w:r>
        <w:rPr>
          <w:rFonts w:ascii="仿宋" w:eastAsia="仿宋" w:hAnsi="仿宋" w:cs="仿宋" w:hint="eastAsia"/>
          <w:sz w:val="32"/>
          <w:szCs w:val="32"/>
        </w:rPr>
        <w:t xml:space="preserve">要求，我局结合工作实际，认真总结202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1</w:t>
      </w:r>
      <w:r>
        <w:rPr>
          <w:rFonts w:ascii="仿宋" w:eastAsia="仿宋" w:hAnsi="仿宋" w:cs="仿宋" w:hint="eastAsia"/>
          <w:sz w:val="32"/>
          <w:szCs w:val="32"/>
        </w:rPr>
        <w:t xml:space="preserve">年度政府信息公开工作情况，现将我局202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1</w:t>
      </w:r>
      <w:r>
        <w:rPr>
          <w:rFonts w:ascii="仿宋" w:eastAsia="仿宋" w:hAnsi="仿宋" w:cs="仿宋" w:hint="eastAsia"/>
          <w:sz w:val="32"/>
          <w:szCs w:val="32"/>
        </w:rPr>
        <w:t xml:space="preserve">年政府信息公开工作报告如下： </w:t>
      </w:r>
    </w:p>
    <w:p>
      <w:pPr>
        <w:numPr>
          <w:ilvl w:val="0"/>
          <w:numId w:val="3"/>
        </w:numPr>
        <w:ind w:left="-10" w:firstLine="640" w:leftChars="0" w:firstLineChars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总体情况 </w:t>
      </w:r>
    </w:p>
    <w:p>
      <w:pPr>
        <w:numPr>
          <w:ilvl w:val="0"/>
          <w:numId w:val="0"/>
        </w:numPr>
        <w:ind w:firstLine="640" w:firstLineChars="20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202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1</w:t>
      </w:r>
      <w:r>
        <w:rPr>
          <w:rFonts w:ascii="仿宋" w:eastAsia="仿宋" w:hAnsi="仿宋" w:cs="仿宋" w:hint="eastAsia"/>
          <w:sz w:val="32"/>
          <w:szCs w:val="32"/>
        </w:rPr>
        <w:t xml:space="preserve">年，刚察县文体旅游广电局严格按照《中华人民共和国 政府信息公开条例》规定,加强政府信息公开工作的组织领导和队 伍建设，建立健全相关规章制度，依法推进政务信息公开，全年共撰写编发文件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179</w:t>
      </w:r>
      <w:r>
        <w:rPr>
          <w:rFonts w:ascii="仿宋" w:eastAsia="仿宋" w:hAnsi="仿宋" w:cs="仿宋" w:hint="eastAsia"/>
          <w:sz w:val="32"/>
          <w:szCs w:val="32"/>
        </w:rPr>
        <w:t xml:space="preserve">篇，工作信息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62</w:t>
      </w:r>
      <w:r>
        <w:rPr>
          <w:rFonts w:ascii="仿宋" w:eastAsia="仿宋" w:hAnsi="仿宋" w:cs="仿宋" w:hint="eastAsia"/>
          <w:sz w:val="32"/>
          <w:szCs w:val="32"/>
        </w:rPr>
        <w:t xml:space="preserve">期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，政务信息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6期</w:t>
      </w:r>
      <w:r>
        <w:rPr>
          <w:rFonts w:ascii="仿宋" w:eastAsia="仿宋" w:hAnsi="仿宋" w:cs="仿宋" w:hint="eastAsia"/>
          <w:sz w:val="32"/>
          <w:szCs w:val="32"/>
        </w:rPr>
        <w:t xml:space="preserve">。 </w:t>
      </w:r>
    </w:p>
    <w:p>
      <w:pPr>
        <w:numPr>
          <w:ilvl w:val="0"/>
          <w:numId w:val="0"/>
        </w:numPr>
        <w:ind w:firstLine="643" w:firstLineChars="200"/>
        <w:rPr>
          <w:rFonts w:ascii="仿宋" w:eastAsia="仿宋" w:hAnsi="仿宋" w:cs="仿宋" w:hint="eastAsia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eastAsia="zh-CN"/>
        </w:rPr>
        <w:t xml:space="preserve">（一）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 xml:space="preserve">强化组织领导，确保信息公开落实到位。</w:t>
      </w:r>
      <w:r>
        <w:rPr>
          <w:rFonts w:ascii="仿宋" w:eastAsia="仿宋" w:hAnsi="仿宋" w:cs="仿宋" w:hint="eastAsia"/>
          <w:sz w:val="32"/>
          <w:szCs w:val="32"/>
        </w:rPr>
        <w:t xml:space="preserve">我局政务公开领导小组由局长担任组长，副局长担任副组长，局属各单位及各科室负责人为成员，明确各项工作职责。严格实行主要领导亲自抓，分管领导具体抓的工作格局。同时将领导小组办公室设在办公室，形成办公室牵头、局属各单位及各科室协调配合的政务信息公开工作机制。 </w:t>
      </w:r>
    </w:p>
    <w:p>
      <w:pPr>
        <w:numPr>
          <w:ilvl w:val="0"/>
          <w:numId w:val="0"/>
        </w:numPr>
        <w:ind w:firstLine="643" w:firstLineChars="200"/>
        <w:rPr>
          <w:rFonts w:ascii="仿宋" w:eastAsia="仿宋" w:hAnsi="仿宋" w:cs="仿宋" w:hint="eastAsia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eastAsia="zh-CN"/>
        </w:rPr>
        <w:t xml:space="preserve">（二）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 xml:space="preserve">完善工作机制，促进政务信息公开透明。</w:t>
      </w:r>
      <w:r>
        <w:rPr>
          <w:rFonts w:ascii="仿宋" w:eastAsia="仿宋" w:hAnsi="仿宋" w:cs="仿宋" w:hint="eastAsia"/>
          <w:sz w:val="32"/>
          <w:szCs w:val="32"/>
        </w:rPr>
        <w:t xml:space="preserve">为有效推进信息公开工作科学、规范、高效运行，根据《中华人民共和国政府信息公开条例》并按照信息公开工作要求，我局制定了工作机制一是建立了政府信息公开制度；二是建立了政府信息公开发布审核制度，对公开的信息由办公室主任负责初审、分管领导复审、局长终审后再发布，确保信息公开工作质量及保密规范；三是确保公开信息及时、准确，明确规定每月上报信息时限和数量。 </w:t>
      </w:r>
    </w:p>
    <w:p>
      <w:pPr>
        <w:numPr>
          <w:ilvl w:val="0"/>
          <w:numId w:val="0"/>
        </w:numPr>
        <w:ind w:firstLine="643" w:firstLineChars="200"/>
        <w:rPr>
          <w:rFonts w:ascii="仿宋" w:eastAsia="仿宋" w:hAnsi="仿宋" w:cs="仿宋" w:hint="eastAsia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eastAsia="zh-CN"/>
        </w:rPr>
        <w:t xml:space="preserve">（三）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 xml:space="preserve">坚持高效便民，推进文化旅游重点领域公开工作。</w:t>
      </w:r>
      <w:r>
        <w:rPr>
          <w:rFonts w:ascii="仿宋" w:eastAsia="仿宋" w:hAnsi="仿宋" w:cs="仿宋" w:hint="eastAsia"/>
          <w:sz w:val="32"/>
          <w:szCs w:val="32"/>
        </w:rPr>
        <w:t xml:space="preserve">一是推进“一站式”办事事项服务信息公开。深入推行“马上办、网上办、就近办、一次办”为着力点，推进我局“放管服”改革工作和审批服务便民化工作持续开展，我局周密部署、积极组织人员对照政务服务事项清单，将梳理承接行政许可事项严格按照网上公布的办事指南、流程及承诺办理时限全部进行网上运行。行政审批（许可）办件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1</w:t>
      </w:r>
      <w:r>
        <w:rPr>
          <w:rFonts w:ascii="仿宋" w:eastAsia="仿宋" w:hAnsi="仿宋" w:cs="仿宋" w:hint="eastAsia"/>
          <w:sz w:val="32"/>
          <w:szCs w:val="32"/>
        </w:rPr>
        <w:t xml:space="preserve">件、出版物网络登记年审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12</w:t>
      </w:r>
      <w:r>
        <w:rPr>
          <w:rFonts w:ascii="仿宋" w:eastAsia="仿宋" w:hAnsi="仿宋" w:cs="仿宋" w:hint="eastAsia"/>
          <w:sz w:val="32"/>
          <w:szCs w:val="32"/>
        </w:rPr>
        <w:t xml:space="preserve">家，网吧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3</w:t>
      </w:r>
      <w:r>
        <w:rPr>
          <w:rFonts w:ascii="仿宋" w:eastAsia="仿宋" w:hAnsi="仿宋" w:cs="仿宋" w:hint="eastAsia"/>
          <w:sz w:val="32"/>
          <w:szCs w:val="32"/>
        </w:rPr>
        <w:t xml:space="preserve">家；共录入行政处罚 444条，其他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行政权力</w:t>
      </w:r>
      <w:r>
        <w:rPr>
          <w:rFonts w:ascii="仿宋" w:eastAsia="仿宋" w:hAnsi="仿宋" w:cs="仿宋" w:hint="eastAsia"/>
          <w:sz w:val="32"/>
          <w:szCs w:val="32"/>
        </w:rPr>
        <w:t xml:space="preserve">事项3条，公共服务事项 14 条，青海政务服务平台 202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1</w:t>
      </w:r>
      <w:r>
        <w:rPr>
          <w:rFonts w:ascii="仿宋" w:eastAsia="仿宋" w:hAnsi="仿宋" w:cs="仿宋" w:hint="eastAsia"/>
          <w:sz w:val="32"/>
          <w:szCs w:val="32"/>
        </w:rPr>
        <w:t xml:space="preserve">年办件量19件。充分运用互联网+政务服务，不断提升服务质量、服务效率，真正让群众实现了不跑腿就办好。二是推进财务信息公开。严格按照财政部门要求，对本单位年度预算编制、决算执行、“三公”经费等情况进行统计，并在政务公开网站进行公示。三是推进文化市场执法检查信息公开。围绕一公开”、一公开”监管工作，及时在全国文化市场技术监管服务平台网站公开抽查主体、内容、方式及工作组织开展情况，及时公开抽查结果和查处情况；公开了202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1</w:t>
      </w:r>
      <w:r>
        <w:rPr>
          <w:rFonts w:ascii="仿宋" w:eastAsia="仿宋" w:hAnsi="仿宋" w:cs="仿宋" w:hint="eastAsia"/>
          <w:sz w:val="32"/>
          <w:szCs w:val="32"/>
        </w:rPr>
        <w:t xml:space="preserve">年度开展娱乐场所检查、互联网上网服务营业场所检查、旅游行业检查、出版物检查、卫星电视广播地面接收设施检查等方面的内容。 </w:t>
      </w:r>
    </w:p>
    <w:p>
      <w:pPr>
        <w:numPr>
          <w:ilvl w:val="0"/>
          <w:numId w:val="3"/>
        </w:numPr>
        <w:ind w:left="-10" w:firstLine="640" w:leftChars="0" w:firstLineChars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主动公开政府信息情况 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2321"/>
        <w:gridCol w:w="2322"/>
        <w:gridCol w:w="2322"/>
        <w:gridCol w:w="232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  <w:t xml:space="preserve">第二十条第（一）项</w:t>
            </w: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  <w:t xml:space="preserve">信息内容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  <w:t xml:space="preserve">本年新制作数量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  <w:t xml:space="preserve">本年新公开数量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  <w:t xml:space="preserve">对外公开总数量</w:t>
            </w: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  <w:t xml:space="preserve">规章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  <w:t xml:space="preserve">0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  <w:t xml:space="preserve">0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  <w:t xml:space="preserve">规范性文件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  <w:t xml:space="preserve">0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  <w:t xml:space="preserve">0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  <w:t xml:space="preserve">第二十条第（五）项</w:t>
            </w: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  <w:t xml:space="preserve">信息内容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  <w:t xml:space="preserve">上一年项目数量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  <w:t xml:space="preserve">本年增</w:t>
            </w: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  <w:t xml:space="preserve">/减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  <w:t xml:space="preserve">处理决定数量</w:t>
            </w: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  <w:t xml:space="preserve">行政许可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  <w:t xml:space="preserve">12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  <w:t xml:space="preserve">减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  <w:t xml:space="preserve">其他对外管理服务事项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  <w:t xml:space="preserve">0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  <w:t xml:space="preserve">0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  <w:t xml:space="preserve">第二十条第（六）项</w:t>
            </w: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Align w:val="center"/>
          </w:tcPr>
          <w:p>
            <w:pPr>
              <w:numPr>
                <w:ilvl w:val="0"/>
                <w:numId w:val="0"/>
              </w:numPr>
              <w:ind w:left="0" w:firstLine="0" w:leftChars="0" w:firstLineChars="0"/>
              <w:jc w:val="center"/>
              <w:rPr>
                <w:rFonts w:ascii="仿宋" w:eastAsia="仿宋" w:hAnsi="仿宋" w:cs="仿宋"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  <w:t xml:space="preserve">信息内容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ind w:left="0" w:firstLine="0" w:leftChars="0" w:firstLineChars="0"/>
              <w:jc w:val="center"/>
              <w:rPr>
                <w:rFonts w:ascii="仿宋" w:eastAsia="仿宋" w:hAnsi="仿宋" w:cs="仿宋"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  <w:t xml:space="preserve">上一年项目数量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ind w:left="0" w:firstLine="0" w:leftChars="0" w:firstLineChars="0"/>
              <w:jc w:val="center"/>
              <w:rPr>
                <w:rFonts w:ascii="仿宋" w:eastAsia="仿宋" w:hAnsi="仿宋" w:cs="仿宋"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  <w:t xml:space="preserve">本年增</w:t>
            </w: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  <w:t xml:space="preserve">/减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ind w:left="0" w:firstLine="0" w:leftChars="0" w:firstLineChars="0"/>
              <w:jc w:val="center"/>
              <w:rPr>
                <w:rFonts w:ascii="仿宋" w:eastAsia="仿宋" w:hAnsi="仿宋" w:cs="仿宋"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  <w:t xml:space="preserve">处理决定数量</w:t>
            </w: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  <w:t xml:space="preserve">行政处罚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  <w:t xml:space="preserve">0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  <w:t xml:space="preserve">0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  <w:t xml:space="preserve">行政强制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  <w:t xml:space="preserve">0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  <w:t xml:space="preserve">0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  <w:t xml:space="preserve">第二十条第（八）项</w:t>
            </w: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Align w:val="center"/>
          </w:tcPr>
          <w:p>
            <w:pPr>
              <w:numPr>
                <w:ilvl w:val="0"/>
                <w:numId w:val="0"/>
              </w:numPr>
              <w:ind w:left="0" w:firstLine="0" w:leftChars="0" w:firstLineChars="0"/>
              <w:jc w:val="center"/>
              <w:rPr>
                <w:rFonts w:ascii="仿宋" w:eastAsia="仿宋" w:hAnsi="仿宋" w:cs="仿宋"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  <w:t xml:space="preserve">信息内容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ind w:left="0" w:firstLine="0" w:leftChars="0" w:firstLineChars="0"/>
              <w:jc w:val="center"/>
              <w:rPr>
                <w:rFonts w:ascii="仿宋" w:eastAsia="仿宋" w:hAnsi="仿宋" w:cs="仿宋"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  <w:t xml:space="preserve">上一年项目数量</w:t>
            </w:r>
          </w:p>
        </w:tc>
        <w:tc>
          <w:tcPr>
            <w:tcW w:w="464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firstLine="0" w:leftChars="0" w:firstLineChars="0"/>
              <w:jc w:val="center"/>
              <w:rPr>
                <w:rFonts w:ascii="仿宋" w:eastAsia="仿宋" w:hAnsi="仿宋" w:cs="仿宋"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  <w:t xml:space="preserve">本年增</w:t>
            </w: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  <w:t xml:space="preserve">/减</w:t>
            </w: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  <w:t xml:space="preserve">行政事业性收费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  <w:t xml:space="preserve">0</w:t>
            </w:r>
          </w:p>
        </w:tc>
        <w:tc>
          <w:tcPr>
            <w:tcW w:w="464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  <w:t xml:space="preserve">第二十条第（九）项</w:t>
            </w: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  <w:t xml:space="preserve">信息内容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  <w:t xml:space="preserve">采购项目数量</w:t>
            </w:r>
          </w:p>
        </w:tc>
        <w:tc>
          <w:tcPr>
            <w:tcW w:w="464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  <w:t xml:space="preserve">采购总金额</w:t>
            </w: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eastAsia="zh-CN"/>
              </w:rPr>
              <w:t xml:space="preserve">政府集中采购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  <w:t xml:space="preserve">0</w:t>
            </w:r>
          </w:p>
        </w:tc>
        <w:tc>
          <w:tcPr>
            <w:tcW w:w="464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vertAlign w:val="baseline"/>
                <w:lang w:val="en-US" w:eastAsia="zh-CN"/>
              </w:rPr>
              <w:t xml:space="preserve">0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ascii="仿宋" w:eastAsia="仿宋" w:hAnsi="仿宋" w:cs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三、收到和处理政府信息公开申请情况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641"/>
        <w:gridCol w:w="846"/>
        <w:gridCol w:w="6"/>
        <w:gridCol w:w="2504"/>
        <w:gridCol w:w="906"/>
        <w:gridCol w:w="867"/>
        <w:gridCol w:w="649"/>
        <w:gridCol w:w="688"/>
        <w:gridCol w:w="866"/>
        <w:gridCol w:w="663"/>
        <w:gridCol w:w="651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3997" w:type="dxa"/>
            <w:gridSpan w:val="4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  <w:t xml:space="preserve">（本列数据的勾稽关系为：第一项加第二项之和，等于第三项加第四项之和）</w:t>
            </w:r>
          </w:p>
        </w:tc>
        <w:tc>
          <w:tcPr>
            <w:tcW w:w="529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  <w:t xml:space="preserve">申请人情况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/>
        </w:trPr>
        <w:tc>
          <w:tcPr>
            <w:tcW w:w="3997" w:type="dxa"/>
            <w:gridSpan w:val="4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  <w:t xml:space="preserve">自然人</w:t>
            </w:r>
          </w:p>
        </w:tc>
        <w:tc>
          <w:tcPr>
            <w:tcW w:w="3733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  <w:t xml:space="preserve">法人或其他组织</w:t>
            </w:r>
          </w:p>
        </w:tc>
        <w:tc>
          <w:tcPr>
            <w:tcW w:w="65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  <w:t xml:space="preserve">总计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/>
        </w:trPr>
        <w:tc>
          <w:tcPr>
            <w:tcW w:w="3997" w:type="dxa"/>
            <w:gridSpan w:val="4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6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  <w:t xml:space="preserve">商业企业</w:t>
            </w:r>
          </w:p>
        </w:tc>
        <w:tc>
          <w:tcPr>
            <w:tcW w:w="6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  <w:t xml:space="preserve">科研机构</w:t>
            </w:r>
          </w:p>
        </w:tc>
        <w:tc>
          <w:tcPr>
            <w:tcW w:w="6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  <w:t xml:space="preserve">社会公益组织</w:t>
            </w:r>
          </w:p>
        </w:tc>
        <w:tc>
          <w:tcPr>
            <w:tcW w:w="8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  <w:t xml:space="preserve">法律服务机构</w:t>
            </w:r>
          </w:p>
        </w:tc>
        <w:tc>
          <w:tcPr>
            <w:tcW w:w="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  <w:t xml:space="preserve">其他</w:t>
            </w:r>
          </w:p>
        </w:tc>
        <w:tc>
          <w:tcPr>
            <w:tcW w:w="651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399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  <w:t xml:space="preserve">一、本年新收政府信息公开申请数量</w:t>
            </w:r>
          </w:p>
        </w:tc>
        <w:tc>
          <w:tcPr>
            <w:tcW w:w="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399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  <w:t xml:space="preserve">二、上年结转政府信息公开申请数量</w:t>
            </w:r>
          </w:p>
        </w:tc>
        <w:tc>
          <w:tcPr>
            <w:tcW w:w="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64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  <w:t xml:space="preserve">三、本年度办理结果</w:t>
            </w:r>
          </w:p>
        </w:tc>
        <w:tc>
          <w:tcPr>
            <w:tcW w:w="335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  <w:t xml:space="preserve">（一）予以公开</w:t>
            </w:r>
          </w:p>
        </w:tc>
        <w:tc>
          <w:tcPr>
            <w:tcW w:w="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641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335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  <w:t xml:space="preserve">（二）部分公开（区分处理的，只计这一情形、不计其他情形）</w:t>
            </w:r>
          </w:p>
        </w:tc>
        <w:tc>
          <w:tcPr>
            <w:tcW w:w="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641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  <w:t xml:space="preserve">（三）不予公开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1.属于国家秘密</w:t>
            </w:r>
          </w:p>
        </w:tc>
        <w:tc>
          <w:tcPr>
            <w:tcW w:w="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641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46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251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2.其他法律行政法规禁止公开</w:t>
            </w:r>
          </w:p>
        </w:tc>
        <w:tc>
          <w:tcPr>
            <w:tcW w:w="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641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46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251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3.危及“三安全一稳定”</w:t>
            </w:r>
          </w:p>
        </w:tc>
        <w:tc>
          <w:tcPr>
            <w:tcW w:w="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641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46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251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4.保护第三方合法权益</w:t>
            </w:r>
          </w:p>
        </w:tc>
        <w:tc>
          <w:tcPr>
            <w:tcW w:w="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641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46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251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5.属于三类内部事务信息</w:t>
            </w:r>
          </w:p>
        </w:tc>
        <w:tc>
          <w:tcPr>
            <w:tcW w:w="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641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46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251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6.属于四类过程性信息</w:t>
            </w:r>
          </w:p>
        </w:tc>
        <w:tc>
          <w:tcPr>
            <w:tcW w:w="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641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46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251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7.属于行政执法案卷</w:t>
            </w:r>
          </w:p>
        </w:tc>
        <w:tc>
          <w:tcPr>
            <w:tcW w:w="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641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46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251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8.属于行政查询事项</w:t>
            </w:r>
          </w:p>
        </w:tc>
        <w:tc>
          <w:tcPr>
            <w:tcW w:w="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641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  <w:t xml:space="preserve">（四）无法提供</w:t>
            </w:r>
          </w:p>
        </w:tc>
        <w:tc>
          <w:tcPr>
            <w:tcW w:w="25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1.本机关不掌握相关政府信息</w:t>
            </w:r>
          </w:p>
        </w:tc>
        <w:tc>
          <w:tcPr>
            <w:tcW w:w="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641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25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2.没有现成信息需要另行制作</w:t>
            </w:r>
          </w:p>
        </w:tc>
        <w:tc>
          <w:tcPr>
            <w:tcW w:w="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641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25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3.补正后申请内容仍不明确</w:t>
            </w:r>
          </w:p>
        </w:tc>
        <w:tc>
          <w:tcPr>
            <w:tcW w:w="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641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  <w:t xml:space="preserve">（五）不予处理</w:t>
            </w:r>
          </w:p>
        </w:tc>
        <w:tc>
          <w:tcPr>
            <w:tcW w:w="25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1.信访举报投诉类申请</w:t>
            </w:r>
          </w:p>
        </w:tc>
        <w:tc>
          <w:tcPr>
            <w:tcW w:w="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641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25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2.重复申请</w:t>
            </w:r>
          </w:p>
        </w:tc>
        <w:tc>
          <w:tcPr>
            <w:tcW w:w="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641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25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3.要求提供公开出版物</w:t>
            </w:r>
          </w:p>
        </w:tc>
        <w:tc>
          <w:tcPr>
            <w:tcW w:w="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641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25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4.无正当理由大量反复申请</w:t>
            </w:r>
          </w:p>
        </w:tc>
        <w:tc>
          <w:tcPr>
            <w:tcW w:w="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641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25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5.要求行政机关确认或重新出具已获取信息</w:t>
            </w:r>
          </w:p>
        </w:tc>
        <w:tc>
          <w:tcPr>
            <w:tcW w:w="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641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335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  <w:t xml:space="preserve">（六）其他处理</w:t>
            </w:r>
          </w:p>
        </w:tc>
        <w:tc>
          <w:tcPr>
            <w:tcW w:w="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641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335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  <w:t xml:space="preserve">（七）总计</w:t>
            </w:r>
          </w:p>
        </w:tc>
        <w:tc>
          <w:tcPr>
            <w:tcW w:w="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399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eastAsia="zh-CN"/>
              </w:rPr>
              <w:t xml:space="preserve">四、结转下年度继续办理</w:t>
            </w:r>
          </w:p>
        </w:tc>
        <w:tc>
          <w:tcPr>
            <w:tcW w:w="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</w:rPr>
            </w:pPr>
          </w:p>
        </w:tc>
        <w:tc>
          <w:tcPr>
            <w:tcW w:w="6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vertAlign w:val="baseline"/>
                <w:lang w:val="en-US" w:eastAsia="zh-CN"/>
              </w:rPr>
              <w:t xml:space="preserve">0</w:t>
            </w:r>
          </w:p>
        </w:tc>
      </w:tr>
    </w:tbl>
    <w:p>
      <w:pPr>
        <w:numPr>
          <w:ilvl w:val="0"/>
          <w:numId w:val="0"/>
        </w:numPr>
        <w:rPr>
          <w:rFonts w:ascii="仿宋" w:eastAsia="仿宋" w:hAnsi="仿宋" w:cs="仿宋" w:hint="eastAsia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ascii="仿宋" w:eastAsia="仿宋" w:hAnsi="仿宋" w:cs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 xml:space="preserve">四、</w:t>
      </w:r>
      <w:r>
        <w:rPr>
          <w:rFonts w:ascii="黑体" w:eastAsia="黑体" w:hAnsi="黑体" w:cs="黑体" w:hint="eastAsia"/>
          <w:sz w:val="32"/>
          <w:szCs w:val="32"/>
        </w:rPr>
        <w:t xml:space="preserve">政府信息公开行政复议、行政诉讼情况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0"/>
        <w:gridCol w:w="620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/>
        </w:trPr>
        <w:tc>
          <w:tcPr>
            <w:tcW w:w="3095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  <w:t xml:space="preserve">行政复议</w:t>
            </w:r>
          </w:p>
        </w:tc>
        <w:tc>
          <w:tcPr>
            <w:tcW w:w="6192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  <w:t xml:space="preserve">行政诉讼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/>
        </w:trPr>
        <w:tc>
          <w:tcPr>
            <w:tcW w:w="61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  <w:t xml:space="preserve">结果维持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  <w:t xml:space="preserve">结果纠正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  <w:t xml:space="preserve">其他结果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  <w:t xml:space="preserve">尚未审结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  <w:t xml:space="preserve">总计</w:t>
            </w:r>
          </w:p>
        </w:tc>
        <w:tc>
          <w:tcPr>
            <w:tcW w:w="3095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  <w:t xml:space="preserve">未经复议直接起诉</w:t>
            </w:r>
          </w:p>
        </w:tc>
        <w:tc>
          <w:tcPr>
            <w:tcW w:w="3097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  <w:t xml:space="preserve">复议后起诉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/>
        </w:trPr>
        <w:tc>
          <w:tcPr>
            <w:tcW w:w="619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vMerge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vAlign w:val="center"/>
          </w:tcPr>
          <w:p>
            <w:pPr>
              <w:numPr>
                <w:ilvl w:val="0"/>
                <w:numId w:val="0"/>
              </w:numPr>
              <w:ind w:left="0" w:firstLine="0" w:leftChars="0" w:firstLineChars="0"/>
              <w:jc w:val="center"/>
              <w:rPr>
                <w:rFonts w:ascii="仿宋" w:eastAsia="仿宋" w:hAnsi="仿宋" w:cs="仿宋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  <w:t xml:space="preserve">结果维持</w:t>
            </w:r>
          </w:p>
        </w:tc>
        <w:tc>
          <w:tcPr>
            <w:tcW w:w="619" w:type="dxa"/>
            <w:vAlign w:val="center"/>
          </w:tcPr>
          <w:p>
            <w:pPr>
              <w:numPr>
                <w:ilvl w:val="0"/>
                <w:numId w:val="0"/>
              </w:numPr>
              <w:ind w:left="0" w:firstLine="0" w:leftChars="0" w:firstLineChars="0"/>
              <w:jc w:val="center"/>
              <w:rPr>
                <w:rFonts w:ascii="仿宋" w:eastAsia="仿宋" w:hAnsi="仿宋" w:cs="仿宋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  <w:t xml:space="preserve">结果纠正</w:t>
            </w:r>
          </w:p>
        </w:tc>
        <w:tc>
          <w:tcPr>
            <w:tcW w:w="619" w:type="dxa"/>
            <w:vAlign w:val="center"/>
          </w:tcPr>
          <w:p>
            <w:pPr>
              <w:numPr>
                <w:ilvl w:val="0"/>
                <w:numId w:val="0"/>
              </w:numPr>
              <w:ind w:left="0" w:firstLine="0" w:leftChars="0" w:firstLineChars="0"/>
              <w:jc w:val="center"/>
              <w:rPr>
                <w:rFonts w:ascii="仿宋" w:eastAsia="仿宋" w:hAnsi="仿宋" w:cs="仿宋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  <w:t xml:space="preserve">其他结果</w:t>
            </w:r>
          </w:p>
        </w:tc>
        <w:tc>
          <w:tcPr>
            <w:tcW w:w="619" w:type="dxa"/>
            <w:vAlign w:val="center"/>
          </w:tcPr>
          <w:p>
            <w:pPr>
              <w:numPr>
                <w:ilvl w:val="0"/>
                <w:numId w:val="0"/>
              </w:numPr>
              <w:ind w:left="0" w:firstLine="0" w:leftChars="0" w:firstLineChars="0"/>
              <w:jc w:val="center"/>
              <w:rPr>
                <w:rFonts w:ascii="仿宋" w:eastAsia="仿宋" w:hAnsi="仿宋" w:cs="仿宋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  <w:t xml:space="preserve">尚未审结</w:t>
            </w:r>
          </w:p>
        </w:tc>
        <w:tc>
          <w:tcPr>
            <w:tcW w:w="619" w:type="dxa"/>
            <w:vAlign w:val="center"/>
          </w:tcPr>
          <w:p>
            <w:pPr>
              <w:numPr>
                <w:ilvl w:val="0"/>
                <w:numId w:val="0"/>
              </w:numPr>
              <w:ind w:left="0" w:firstLine="0" w:leftChars="0" w:firstLineChars="0"/>
              <w:jc w:val="center"/>
              <w:rPr>
                <w:rFonts w:ascii="仿宋" w:eastAsia="仿宋" w:hAnsi="仿宋" w:cs="仿宋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  <w:t xml:space="preserve">总计</w:t>
            </w:r>
          </w:p>
        </w:tc>
        <w:tc>
          <w:tcPr>
            <w:tcW w:w="619" w:type="dxa"/>
            <w:vAlign w:val="center"/>
          </w:tcPr>
          <w:p>
            <w:pPr>
              <w:numPr>
                <w:ilvl w:val="0"/>
                <w:numId w:val="0"/>
              </w:numPr>
              <w:ind w:left="0" w:firstLine="0" w:leftChars="0" w:firstLineChars="0"/>
              <w:jc w:val="center"/>
              <w:rPr>
                <w:rFonts w:ascii="仿宋" w:eastAsia="仿宋" w:hAnsi="仿宋" w:cs="仿宋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  <w:t xml:space="preserve">结果维持</w:t>
            </w:r>
          </w:p>
        </w:tc>
        <w:tc>
          <w:tcPr>
            <w:tcW w:w="619" w:type="dxa"/>
            <w:vAlign w:val="center"/>
          </w:tcPr>
          <w:p>
            <w:pPr>
              <w:numPr>
                <w:ilvl w:val="0"/>
                <w:numId w:val="0"/>
              </w:numPr>
              <w:ind w:left="0" w:firstLine="0" w:leftChars="0" w:firstLineChars="0"/>
              <w:jc w:val="center"/>
              <w:rPr>
                <w:rFonts w:ascii="仿宋" w:eastAsia="仿宋" w:hAnsi="仿宋" w:cs="仿宋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  <w:t xml:space="preserve">结果纠正</w:t>
            </w:r>
          </w:p>
        </w:tc>
        <w:tc>
          <w:tcPr>
            <w:tcW w:w="619" w:type="dxa"/>
            <w:vAlign w:val="center"/>
          </w:tcPr>
          <w:p>
            <w:pPr>
              <w:numPr>
                <w:ilvl w:val="0"/>
                <w:numId w:val="0"/>
              </w:numPr>
              <w:ind w:left="0" w:firstLine="0" w:leftChars="0" w:firstLineChars="0"/>
              <w:jc w:val="center"/>
              <w:rPr>
                <w:rFonts w:ascii="仿宋" w:eastAsia="仿宋" w:hAnsi="仿宋" w:cs="仿宋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  <w:t xml:space="preserve">其他结果</w:t>
            </w:r>
          </w:p>
        </w:tc>
        <w:tc>
          <w:tcPr>
            <w:tcW w:w="620" w:type="dxa"/>
            <w:vAlign w:val="center"/>
          </w:tcPr>
          <w:p>
            <w:pPr>
              <w:numPr>
                <w:ilvl w:val="0"/>
                <w:numId w:val="0"/>
              </w:numPr>
              <w:ind w:left="0" w:firstLine="0" w:leftChars="0" w:firstLineChars="0"/>
              <w:jc w:val="center"/>
              <w:rPr>
                <w:rFonts w:ascii="仿宋" w:eastAsia="仿宋" w:hAnsi="仿宋" w:cs="仿宋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  <w:t xml:space="preserve">尚未审结</w:t>
            </w:r>
          </w:p>
        </w:tc>
        <w:tc>
          <w:tcPr>
            <w:tcW w:w="620" w:type="dxa"/>
            <w:vAlign w:val="center"/>
          </w:tcPr>
          <w:p>
            <w:pPr>
              <w:numPr>
                <w:ilvl w:val="0"/>
                <w:numId w:val="0"/>
              </w:numPr>
              <w:ind w:left="0" w:firstLine="0" w:leftChars="0" w:firstLineChars="0"/>
              <w:jc w:val="center"/>
              <w:rPr>
                <w:rFonts w:ascii="仿宋" w:eastAsia="仿宋" w:hAnsi="仿宋" w:cs="仿宋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eastAsia="zh-CN"/>
              </w:rPr>
              <w:t xml:space="preserve">总计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/>
        </w:trPr>
        <w:tc>
          <w:tcPr>
            <w:tcW w:w="6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val="en-US" w:eastAsia="zh-CN"/>
              </w:rPr>
              <w:t xml:space="preserve">0</w:t>
            </w:r>
          </w:p>
        </w:tc>
        <w:tc>
          <w:tcPr>
            <w:tcW w:w="6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val="en-US" w:eastAsia="zh-CN"/>
              </w:rPr>
              <w:t xml:space="preserve">0</w:t>
            </w:r>
          </w:p>
        </w:tc>
        <w:tc>
          <w:tcPr>
            <w:tcW w:w="6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val="en-US" w:eastAsia="zh-CN"/>
              </w:rPr>
              <w:t xml:space="preserve">0</w:t>
            </w:r>
          </w:p>
        </w:tc>
        <w:tc>
          <w:tcPr>
            <w:tcW w:w="6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val="en-US" w:eastAsia="zh-CN"/>
              </w:rPr>
              <w:t xml:space="preserve">0</w:t>
            </w:r>
          </w:p>
        </w:tc>
        <w:tc>
          <w:tcPr>
            <w:tcW w:w="6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val="en-US" w:eastAsia="zh-CN"/>
              </w:rPr>
              <w:t xml:space="preserve">0</w:t>
            </w:r>
          </w:p>
        </w:tc>
        <w:tc>
          <w:tcPr>
            <w:tcW w:w="6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val="en-US" w:eastAsia="zh-CN"/>
              </w:rPr>
              <w:t xml:space="preserve">0</w:t>
            </w:r>
          </w:p>
        </w:tc>
        <w:tc>
          <w:tcPr>
            <w:tcW w:w="6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val="en-US" w:eastAsia="zh-CN"/>
              </w:rPr>
              <w:t xml:space="preserve">0</w:t>
            </w:r>
          </w:p>
        </w:tc>
        <w:tc>
          <w:tcPr>
            <w:tcW w:w="6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val="en-US" w:eastAsia="zh-CN"/>
              </w:rPr>
              <w:t xml:space="preserve">0</w:t>
            </w:r>
          </w:p>
        </w:tc>
        <w:tc>
          <w:tcPr>
            <w:tcW w:w="6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val="en-US" w:eastAsia="zh-CN"/>
              </w:rPr>
              <w:t xml:space="preserve">0</w:t>
            </w:r>
          </w:p>
        </w:tc>
        <w:tc>
          <w:tcPr>
            <w:tcW w:w="6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val="en-US" w:eastAsia="zh-CN"/>
              </w:rPr>
              <w:t xml:space="preserve">0</w:t>
            </w:r>
          </w:p>
        </w:tc>
        <w:tc>
          <w:tcPr>
            <w:tcW w:w="6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val="en-US" w:eastAsia="zh-CN"/>
              </w:rPr>
              <w:t xml:space="preserve">0</w:t>
            </w:r>
          </w:p>
        </w:tc>
        <w:tc>
          <w:tcPr>
            <w:tcW w:w="6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val="en-US" w:eastAsia="zh-CN"/>
              </w:rPr>
              <w:t xml:space="preserve">0</w:t>
            </w:r>
          </w:p>
        </w:tc>
        <w:tc>
          <w:tcPr>
            <w:tcW w:w="6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val="en-US" w:eastAsia="zh-CN"/>
              </w:rPr>
              <w:t xml:space="preserve">0</w:t>
            </w:r>
          </w:p>
        </w:tc>
        <w:tc>
          <w:tcPr>
            <w:tcW w:w="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val="en-US" w:eastAsia="zh-CN"/>
              </w:rPr>
              <w:t xml:space="preserve">0</w:t>
            </w:r>
          </w:p>
        </w:tc>
        <w:tc>
          <w:tcPr>
            <w:tcW w:w="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vertAlign w:val="baseline"/>
                <w:lang w:val="en-US" w:eastAsia="zh-CN"/>
              </w:rPr>
              <w:t xml:space="preserve">0</w:t>
            </w:r>
          </w:p>
        </w:tc>
      </w:tr>
    </w:tbl>
    <w:p>
      <w:pPr>
        <w:numPr>
          <w:ilvl w:val="0"/>
          <w:numId w:val="0"/>
        </w:numPr>
        <w:rPr>
          <w:rFonts w:ascii="仿宋" w:eastAsia="仿宋" w:hAnsi="仿宋" w:cs="仿宋" w:hint="eastAsia"/>
          <w:sz w:val="32"/>
          <w:szCs w:val="32"/>
        </w:rPr>
      </w:pPr>
    </w:p>
    <w:p>
      <w:pPr>
        <w:numPr>
          <w:ilvl w:val="0"/>
          <w:numId w:val="4"/>
        </w:numPr>
        <w:ind w:firstLine="640" w:firstLineChars="20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政府信息公开存在的主要问题及改进情况 </w:t>
      </w:r>
    </w:p>
    <w:p>
      <w:pPr>
        <w:numPr>
          <w:ilvl w:val="0"/>
          <w:numId w:val="0"/>
        </w:numPr>
        <w:ind w:firstLine="640" w:firstLineChars="20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202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1</w:t>
      </w:r>
      <w:r>
        <w:rPr>
          <w:rFonts w:ascii="仿宋" w:eastAsia="仿宋" w:hAnsi="仿宋" w:cs="仿宋" w:hint="eastAsia"/>
          <w:sz w:val="32"/>
          <w:szCs w:val="32"/>
        </w:rPr>
        <w:t xml:space="preserve">年我局严格遵守《政府信息公开条例》，但对于政务公开工作要求还存在许多不足，比如，信息公开力度有待加强、公开内容的规范性有待改善等问题。今后我局将从以下几个方面加强工作，推动政务公开有序开展。 </w:t>
      </w:r>
    </w:p>
    <w:p>
      <w:pPr>
        <w:numPr>
          <w:ilvl w:val="0"/>
          <w:numId w:val="0"/>
        </w:numPr>
        <w:ind w:firstLine="643" w:firstLineChars="200"/>
        <w:rPr>
          <w:rFonts w:ascii="仿宋" w:eastAsia="仿宋" w:hAnsi="仿宋" w:cs="仿宋" w:hint="eastAsia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eastAsia="zh-CN"/>
        </w:rPr>
        <w:t xml:space="preserve">（一）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 xml:space="preserve">进一步加强政务公开学习培训。</w:t>
      </w:r>
      <w:r>
        <w:rPr>
          <w:rFonts w:ascii="仿宋" w:eastAsia="仿宋" w:hAnsi="仿宋" w:cs="仿宋" w:hint="eastAsia"/>
          <w:sz w:val="32"/>
          <w:szCs w:val="32"/>
        </w:rPr>
        <w:t xml:space="preserve">组织单位人员学习《中 华人民共和国政府信息公开条例》等政策法规，并安排计算机网 站建设及网络学习和培训，提升专业人员综合素质和水平。 </w:t>
      </w:r>
    </w:p>
    <w:p>
      <w:pPr>
        <w:numPr>
          <w:ilvl w:val="0"/>
          <w:numId w:val="0"/>
        </w:numPr>
        <w:ind w:firstLine="643" w:firstLineChars="200"/>
        <w:rPr>
          <w:rFonts w:ascii="仿宋" w:eastAsia="仿宋" w:hAnsi="仿宋" w:cs="仿宋" w:hint="eastAsia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eastAsia="zh-CN"/>
        </w:rPr>
        <w:t xml:space="preserve">（二）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 xml:space="preserve">进一步加大政务信息公开力度。</w:t>
      </w:r>
      <w:r>
        <w:rPr>
          <w:rFonts w:ascii="仿宋" w:eastAsia="仿宋" w:hAnsi="仿宋" w:cs="仿宋" w:hint="eastAsia"/>
          <w:sz w:val="32"/>
          <w:szCs w:val="32"/>
        </w:rPr>
        <w:t xml:space="preserve">进一步完善政府信息 公开各项工作制度，规范信息公开内容，提高公开质量。丰富政府信息公开方式，通过开设网站、微信、展板、广播等新媒体方式进行公开。 </w:t>
      </w:r>
    </w:p>
    <w:p>
      <w:pPr>
        <w:numPr>
          <w:ilvl w:val="0"/>
          <w:numId w:val="0"/>
        </w:numPr>
        <w:ind w:firstLine="640" w:firstLineChars="200"/>
        <w:rPr>
          <w:rFonts w:ascii="仿宋" w:eastAsia="仿宋" w:hAnsi="仿宋" w:cs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 xml:space="preserve">六、</w:t>
      </w:r>
      <w:r>
        <w:rPr>
          <w:rFonts w:ascii="黑体" w:eastAsia="黑体" w:hAnsi="黑体" w:cs="黑体" w:hint="eastAsia"/>
          <w:sz w:val="32"/>
          <w:szCs w:val="32"/>
        </w:rPr>
        <w:t xml:space="preserve">其他需要报告的事项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>
      <w:pPr>
        <w:numPr>
          <w:ilvl w:val="0"/>
          <w:numId w:val="0"/>
        </w:numPr>
        <w:ind w:firstLine="640" w:firstLineChars="20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无其他报告事项。</w:t>
      </w:r>
    </w:p>
    <w:p>
      <w:pPr>
        <w:numPr>
          <w:ilvl w:val="0"/>
          <w:numId w:val="0"/>
        </w:numPr>
        <w:ind w:firstLine="640" w:firstLineChars="200"/>
        <w:rPr>
          <w:rFonts w:ascii="仿宋" w:eastAsia="仿宋" w:hAnsi="仿宋" w:cs="仿宋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eastAsia="仿宋" w:hAnsi="仿宋" w:cs="仿宋" w:hint="eastAsia"/>
          <w:sz w:val="32"/>
          <w:szCs w:val="32"/>
          <w:lang w:val="en-US" w:eastAsia="zh-CN"/>
        </w:rPr>
      </w:pPr>
    </w:p>
    <w:p>
      <w:pPr>
        <w:tabs>
          <w:tab w:val="left" w:pos="7560"/>
        </w:tabs>
        <w:spacing w:line="600" w:lineRule="exact"/>
        <w:ind w:firstLine="5440" w:firstLineChars="170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20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22</w:t>
      </w:r>
      <w:r>
        <w:rPr>
          <w:rFonts w:ascii="仿宋" w:eastAsia="仿宋" w:hAnsi="仿宋" w:cs="宋体" w:hint="eastAsia"/>
          <w:sz w:val="32"/>
          <w:szCs w:val="32"/>
        </w:rPr>
        <w:t xml:space="preserve">年</w:t>
      </w:r>
      <w:r>
        <w:rPr>
          <w:rFonts w:ascii="仿宋" w:eastAsia="仿宋" w:hAnsi="仿宋" w:cs="宋体" w:hint="eastAsia"/>
          <w:sz w:val="32"/>
          <w:szCs w:val="32"/>
          <w:lang w:val="en-US" w:eastAsia="zh-CN"/>
        </w:rPr>
        <w:t xml:space="preserve">1</w:t>
      </w:r>
      <w:r>
        <w:rPr>
          <w:rFonts w:ascii="仿宋" w:eastAsia="仿宋" w:hAnsi="仿宋" w:cs="宋体" w:hint="eastAsia"/>
          <w:sz w:val="32"/>
          <w:szCs w:val="32"/>
        </w:rPr>
        <w:t xml:space="preserve">月</w:t>
      </w:r>
      <w:r>
        <w:rPr>
          <w:rFonts w:ascii="仿宋" w:eastAsia="仿宋" w:hAnsi="仿宋" w:cs="宋体" w:hint="eastAsia"/>
          <w:sz w:val="32"/>
          <w:szCs w:val="32"/>
          <w:lang w:val="en-US" w:eastAsia="zh-CN"/>
        </w:rPr>
        <w:t xml:space="preserve">19</w:t>
      </w:r>
      <w:r>
        <w:rPr>
          <w:rFonts w:ascii="仿宋" w:eastAsia="仿宋" w:hAnsi="仿宋" w:cs="宋体" w:hint="eastAsia"/>
          <w:sz w:val="32"/>
          <w:szCs w:val="32"/>
        </w:rPr>
        <w:t xml:space="preserve">日</w:t>
      </w:r>
    </w:p>
    <w:p>
      <w:pPr>
        <w:tabs>
          <w:tab w:val="left" w:pos="7560"/>
        </w:tabs>
        <w:spacing w:line="600" w:lineRule="exact"/>
        <w:ind w:firstLine="5440" w:firstLineChars="1700"/>
        <w:rPr>
          <w:rFonts w:ascii="仿宋" w:eastAsia="仿宋" w:hAnsi="仿宋" w:cs="宋体" w:hint="eastAsia"/>
          <w:sz w:val="32"/>
          <w:szCs w:val="32"/>
        </w:rPr>
      </w:pPr>
    </w:p>
    <w:p>
      <w:pPr>
        <w:tabs>
          <w:tab w:val="left" w:pos="7560"/>
        </w:tabs>
        <w:spacing w:line="600" w:lineRule="exact"/>
        <w:rPr>
          <w:rFonts w:ascii="仿宋" w:eastAsia="仿宋" w:hAnsi="仿宋" w:cs="宋体" w:hint="eastAsia"/>
          <w:sz w:val="32"/>
          <w:szCs w:val="32"/>
        </w:rPr>
      </w:pPr>
    </w:p>
    <w:p>
      <w:pPr>
        <w:tabs>
          <w:tab w:val="left" w:pos="7560"/>
        </w:tabs>
        <w:spacing w:line="600" w:lineRule="exact"/>
        <w:rPr>
          <w:rFonts w:ascii="仿宋" w:eastAsia="仿宋" w:hAnsi="仿宋" w:cs="宋体" w:hint="eastAsia"/>
          <w:sz w:val="32"/>
          <w:szCs w:val="32"/>
        </w:rPr>
      </w:pPr>
    </w:p>
    <w:p>
      <w:pPr>
        <w:tabs>
          <w:tab w:val="left" w:pos="7560"/>
        </w:tabs>
        <w:spacing w:line="600" w:lineRule="exact"/>
        <w:rPr>
          <w:rFonts w:ascii="仿宋" w:eastAsia="仿宋" w:hAnsi="仿宋" w:cs="宋体" w:hint="eastAsia"/>
          <w:sz w:val="32"/>
          <w:szCs w:val="32"/>
        </w:rPr>
      </w:pPr>
    </w:p>
    <w:p>
      <w:pPr>
        <w:pBdr>
          <w:bottom w:val="single" w:sz="6" w:space="1" w:color="auto"/>
        </w:pBdr>
        <w:spacing w:line="600" w:lineRule="exact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pBdr>
          <w:bottom w:val="single" w:sz="6" w:space="1" w:color="auto"/>
        </w:pBdr>
        <w:tabs>
          <w:tab w:val="righ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抄送：档。</w:t>
      </w:r>
      <w:r>
        <w:rPr>
          <w:rFonts w:ascii="仿宋" w:eastAsia="仿宋" w:hAnsi="仿宋" w:hint="eastAsia"/>
          <w:sz w:val="32"/>
          <w:szCs w:val="32"/>
        </w:rPr>
        <w:tab/>
      </w:r>
    </w:p>
    <w:p>
      <w:pPr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刚察县文体旅游广电局            </w:t>
      </w:r>
      <w:r>
        <w:rPr>
          <w:rFonts w:ascii="仿宋" w:eastAsia="仿宋" w:hAnsi="仿宋"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20</w:t>
      </w:r>
      <w:r>
        <w:rPr>
          <w:rFonts w:ascii="仿宋" w:eastAsia="仿宋" w:hAnsi="仿宋" w:hint="eastAsia"/>
          <w:sz w:val="32"/>
          <w:szCs w:val="32"/>
          <w:u w:val="single"/>
          <w:lang w:val="en-US" w:eastAsia="zh-CN"/>
        </w:rPr>
        <w:t xml:space="preserve">22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年</w:t>
      </w:r>
      <w:r>
        <w:rPr>
          <w:rFonts w:ascii="仿宋" w:eastAsia="仿宋" w:hAnsi="仿宋" w:hint="eastAsia"/>
          <w:sz w:val="32"/>
          <w:szCs w:val="32"/>
          <w:u w:val="single"/>
          <w:lang w:val="en-US" w:eastAsia="zh-CN"/>
        </w:rPr>
        <w:t xml:space="preserve">1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月</w:t>
      </w:r>
      <w:r>
        <w:rPr>
          <w:rFonts w:ascii="仿宋" w:eastAsia="仿宋" w:hAnsi="仿宋" w:hint="eastAsia"/>
          <w:sz w:val="32"/>
          <w:szCs w:val="32"/>
          <w:u w:val="single"/>
          <w:lang w:val="en-US" w:eastAsia="zh-CN"/>
        </w:rPr>
        <w:t xml:space="preserve">19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日印发</w:t>
      </w:r>
      <w:r>
        <w:rPr>
          <w:rFonts w:ascii="仿宋" w:eastAsia="仿宋" w:hAnsi="仿宋" w:hint="eastAsia"/>
          <w:sz w:val="32"/>
          <w:szCs w:val="32"/>
          <w:u w:val="single"/>
          <w:lang w:val="en-US" w:eastAsia="zh-CN"/>
        </w:rPr>
        <w:t xml:space="preserve"> </w:t>
      </w:r>
    </w:p>
    <w:sectPr>
      <w:pgSz w:w="11906" w:h="16838" w:orient="portrait"/>
      <w:pgMar w:top="1701" w:right="1134" w:bottom="1701" w:left="1701" w:header="851" w:footer="992" w:gutter="0"/>
      <w:cols w:num="1" w:space="425">
        <w:col w:w="9071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3">
    <w:multiLevelType w:val="singleLevel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20"/>
  <w:embedSystemFonts/>
  <w:bordersDoNotSurroundFooter w:val="0"/>
  <w:bordersDoNotSurroundHeader w:val="0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NDhmNWJmYzkzOWU3NmUxYWQ0MTg4YTM1MmU0OTgxNjE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rPr/>
  </w:style>
  <w:style w:type="table" w:default="1" w:styleId="TableNormal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widowControl w:val="0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theme" Target="theme/theme1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7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F5A71C3459B445439C9FA8D2A06BDE8D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0</Words>
  <Characters>0</Characters>
  <Application>WPS Office_12.1.0.16417_F1E327BC-269C-435d-A152-05C5408002CA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_x0028__x005E__x005E__x0029_霞_xFF1A__xFF09_</dc:creator>
  <cp:lastModifiedBy>海灵软件—何易佳</cp:lastModifiedBy>
  <cp:revision>1</cp:revision>
  <dcterms:created xsi:type="dcterms:W3CDTF">2022-01-17T08:23:00Z</dcterms:created>
  <dcterms:modified xsi:type="dcterms:W3CDTF">2024-04-16T02:36:42Z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2052-12.1.0.16417</vt:lpstr>
  </property>
  <property fmtid="{D5CDD505-2E9C-101B-9397-08002B2CF9AE}" pid="3" name="ICV">
    <vt:lpstr>F5A71C3459B445439C9FA8D2A06BDE8D</vt:lpstr>
  </property>
</Properties>
</file>