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adjustRightInd w:val="0"/>
        <w:spacing w:line="56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>
      <w:pPr>
        <w:adjustRightInd w:val="0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>
      <w:pPr>
        <w:adjustRightInd w:val="0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>
      <w:pPr>
        <w:adjustRightInd w:val="0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>
      <w:pPr>
        <w:adjustRightInd w:val="0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>
      <w:pPr>
        <w:adjustRightInd w:val="0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>
      <w:pPr>
        <w:adjustRightInd w:val="0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>
      <w:pPr>
        <w:adjustRightInd w:val="0"/>
        <w:spacing w:line="560" w:lineRule="exact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刚生发〔202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号                    签发人：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 xml:space="preserve">李旦忠</w:t>
      </w:r>
    </w:p>
    <w:p>
      <w:pPr>
        <w:spacing w:line="6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>
      <w:pPr>
        <w:spacing w:line="6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刚察县生态环境局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关于上报2021年度政府信息公开工作开展情况的报告</w:t>
      </w:r>
    </w:p>
    <w:p>
      <w:pPr>
        <w:pStyle w:val="UserStyle_0"/>
        <w:spacing w:line="560" w:lineRule="exact"/>
        <w:ind w:firstLine="4790" w:firstLineChars="1497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县电子政务中心：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根据根据《中华人民共和国政府信息公开条例》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和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青海省人民政府办公厅《关于做好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2021年度政府信息公开工作年度报告编制发布有关事项的通知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》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要求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，县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生态环境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局高度重视，认真抓好落实，现将202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年度政务公开工作要点落实情况报告如下：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Style w:val="Strong"/>
          <w:rFonts w:ascii="黑体" w:eastAsia="黑体" w:hAnsi="黑体" w:cs="黑体" w:hint="eastAsia"/>
          <w:i w:val="0"/>
          <w:iCs w:val="0"/>
          <w:caps w:val="0"/>
          <w:color w:val="414141"/>
          <w:spacing w:val="0"/>
          <w:sz w:val="24"/>
          <w:szCs w:val="24"/>
          <w:shd w:val="clear" w:color="auto" w:fill="FFFFFF"/>
        </w:rPr>
      </w:pPr>
      <w:r>
        <w:rPr>
          <w:rFonts w:ascii="黑体" w:eastAsia="黑体" w:hAnsi="黑体" w:cs="黑体" w:hint="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="仿宋_GB2312" w:cs="仿宋_GB2312" w:hint="default"/>
          <w:b w:val="0"/>
          <w:bCs w:val="0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我局结合工作实际，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认真做好各类公开信息数据的收集、统计、整理、汇总等工作，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采取多种渠道、多种方式向社会广泛公开，同时按照便利、实用、有效的原则，着力创新信息公开的载体、形式，不断拓宽信息公开的广度。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从严把握时间节点，将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领导分工、部门职能、办事程序、工作动态、通知公告、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空气优良率、一公开”、一公开”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等方面的内容在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县政府门户网站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、宣传栏、展板等及时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公开。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2021年度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我局共主动公开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工作动态信息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94期，出动执法人员480余人次，执法车辆210余辆次，登记现场检查记录126份，立案调查环境违法企业3家（处罚金额29.16万元，已结案），妥善处理信访案件7次（办结率100%），下达整改通知书3份。办理环境影响报告表（书）8份、预审意见3份；核发固定污染源排污许可证核发企业20家，登记管理排污企业58家。</w:t>
      </w:r>
    </w:p>
    <w:p>
      <w:pPr>
        <w:pStyle w:val="Normal(Web)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240" w:afterAutospacing="0"/>
        <w:ind w:right="0" w:firstLine="640" w:firstLineChars="200"/>
        <w:jc w:val="left"/>
        <w:rPr>
          <w:rFonts w:ascii="黑体" w:eastAsia="黑体" w:hAnsi="黑体" w:cs="黑体" w:hint="eastAsia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Strong"/>
          <w:rFonts w:ascii="黑体" w:eastAsia="黑体" w:hAnsi="黑体" w:cs="黑体" w:hint="eastAsia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二、主动公开政府信息情况</w:t>
      </w:r>
    </w:p>
    <w:tbl>
      <w:tblPr>
        <w:tblStyle w:val="TableNormal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769"/>
        <w:gridCol w:w="1769"/>
        <w:gridCol w:w="1769"/>
        <w:gridCol w:w="3015"/>
      </w:tblGrid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9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                                第二十条第(一)项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信息内容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本年制发件数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本年废止件数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现行有效件数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规章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行政规范性文件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9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                                     第二十条第(五)项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信息内容</w:t>
            </w:r>
          </w:p>
        </w:tc>
        <w:tc>
          <w:tcPr>
            <w:tcW w:w="7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本年处理决定数量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行政许可</w:t>
            </w:r>
          </w:p>
        </w:tc>
        <w:tc>
          <w:tcPr>
            <w:tcW w:w="7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9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                                    第二十条第(六)项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信息内容</w:t>
            </w:r>
          </w:p>
        </w:tc>
        <w:tc>
          <w:tcPr>
            <w:tcW w:w="7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本年处理决定数量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行政处罚</w:t>
            </w:r>
          </w:p>
        </w:tc>
        <w:tc>
          <w:tcPr>
            <w:tcW w:w="7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行政强制</w:t>
            </w:r>
          </w:p>
        </w:tc>
        <w:tc>
          <w:tcPr>
            <w:tcW w:w="7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10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                                    第二十条第(八)项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信息内容</w:t>
            </w:r>
          </w:p>
        </w:tc>
        <w:tc>
          <w:tcPr>
            <w:tcW w:w="7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本年收费金额(单位:万元)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行政事业性收费</w:t>
            </w:r>
          </w:p>
        </w:tc>
        <w:tc>
          <w:tcPr>
            <w:tcW w:w="7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>
      <w:pPr>
        <w:pStyle w:val="Normal(Web)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240" w:afterAutospacing="0"/>
        <w:ind w:left="0" w:right="0" w:firstLine="420"/>
        <w:jc w:val="left"/>
        <w:rPr>
          <w:rFonts w:ascii="黑体" w:eastAsia="黑体" w:hAnsi="黑体" w:cs="黑体" w:hint="eastAsia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Strong"/>
          <w:rFonts w:ascii="黑体" w:eastAsia="黑体" w:hAnsi="黑体" w:cs="黑体" w:hint="eastAsia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三、收到和处理政府信息公开申请情况</w:t>
      </w:r>
    </w:p>
    <w:tbl>
      <w:tblPr>
        <w:tblStyle w:val="TableNormal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86"/>
        <w:gridCol w:w="812"/>
        <w:gridCol w:w="2671"/>
        <w:gridCol w:w="586"/>
        <w:gridCol w:w="586"/>
        <w:gridCol w:w="586"/>
        <w:gridCol w:w="586"/>
        <w:gridCol w:w="586"/>
        <w:gridCol w:w="611"/>
        <w:gridCol w:w="612"/>
      </w:tblGrid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46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(本列数据的勾稽关系为:第一项加第二项之和，等于第三项加第四项之和)</w:t>
            </w:r>
          </w:p>
        </w:tc>
        <w:tc>
          <w:tcPr>
            <w:tcW w:w="4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             申请人情况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  <w:jc w:val="center"/>
        </w:trPr>
        <w:tc>
          <w:tcPr>
            <w:tcW w:w="466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自然人</w:t>
            </w:r>
          </w:p>
        </w:tc>
        <w:tc>
          <w:tcPr>
            <w:tcW w:w="3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       法人或其他组织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总计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466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商业</w:t>
            </w:r>
          </w:p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企业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科研</w:t>
            </w:r>
          </w:p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机构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社会公益组织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法律服务机构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其他</w:t>
            </w: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4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一、本年新收政府信息公开申请数量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4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二、上年结转政府信息公开申请数量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三、本年度办理结果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(一)予以公开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(二)部分公开(区分处理的，只计这一情形，不计其他情形)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(三)不予公开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1.属于国家秘密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2.其他法律行政法规禁止公开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3.危及“三安全一稳定”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4.保护第三方合法权益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5.属于三类内部事务信息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6.属于四类过程性信息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7.属于行政执法案卷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8.属于行政查询事项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(四)无法提供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1.本机关不掌握相关政府信息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2.没有现成信息需要另行制作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3.补正后申请内容仍不明确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(五)不予处理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1.信访举报投诉类申请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2.重复申请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3.要求提供公开出版物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4.无正当理由大量反复申请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5.要求行政机关确认或重新出具已获取信息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(六)其他处理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1.申请人无正当理由逾期不补正、行政机关不再处理其政府信息公开申请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2.申请人逾期未按收费通知要求缴纳费用、行政机关不再处理其政府信息公开申请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3.其他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(七)总计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  <w:jc w:val="center"/>
        </w:trPr>
        <w:tc>
          <w:tcPr>
            <w:tcW w:w="4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四、结转下年度继续办理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Normal(Web)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240" w:afterAutospacing="0"/>
        <w:ind w:left="0" w:right="0" w:firstLine="420"/>
        <w:jc w:val="left"/>
        <w:rPr>
          <w:rFonts w:ascii="黑体" w:eastAsia="黑体" w:hAnsi="黑体" w:cs="黑体" w:hint="eastAsia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Strong"/>
          <w:rFonts w:ascii="黑体" w:eastAsia="黑体" w:hAnsi="黑体" w:cs="黑体" w:hint="eastAsia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四、政府信息公开行政复议、行政诉讼情况</w:t>
      </w:r>
    </w:p>
    <w:tbl>
      <w:tblPr>
        <w:tblStyle w:val="TableNormal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83"/>
        <w:gridCol w:w="562"/>
        <w:gridCol w:w="562"/>
        <w:gridCol w:w="563"/>
        <w:gridCol w:w="467"/>
        <w:gridCol w:w="552"/>
        <w:gridCol w:w="552"/>
        <w:gridCol w:w="552"/>
        <w:gridCol w:w="552"/>
        <w:gridCol w:w="563"/>
        <w:gridCol w:w="552"/>
        <w:gridCol w:w="552"/>
        <w:gridCol w:w="552"/>
        <w:gridCol w:w="552"/>
        <w:gridCol w:w="584"/>
        <w:gridCol w:w="22"/>
      </w:tblGrid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3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    行政复议</w:t>
            </w:r>
          </w:p>
        </w:tc>
        <w:tc>
          <w:tcPr>
            <w:tcW w:w="6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                     行政诉讼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结果维持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结果纠正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其他结果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尚未审结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总计</w:t>
            </w:r>
          </w:p>
        </w:tc>
        <w:tc>
          <w:tcPr>
            <w:tcW w:w="3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  未经复议直接起诉</w:t>
            </w:r>
          </w:p>
        </w:tc>
        <w:tc>
          <w:tcPr>
            <w:tcW w:w="3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4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        复议后起诉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结果维持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结果纠正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其他结果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尚未审结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总计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结果维持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结果纠正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其他结果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尚未审结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240" w:afterAutospacing="0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总计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Normal(Web)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rightChars="0" w:firstLineChars="200"/>
        <w:jc w:val="left"/>
        <w:textAlignment w:val="auto"/>
        <w:rPr>
          <w:rStyle w:val="Strong"/>
          <w:rFonts w:ascii="黑体" w:eastAsia="黑体" w:hAnsi="黑体" w:cs="黑体" w:hint="eastAsia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Strong"/>
          <w:rFonts w:ascii="黑体" w:eastAsia="黑体" w:hAnsi="黑体" w:cs="黑体" w:hint="eastAsia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五、</w:t>
      </w:r>
      <w:r>
        <w:rPr>
          <w:rStyle w:val="Strong"/>
          <w:rFonts w:ascii="黑体" w:eastAsia="黑体" w:hAnsi="黑体" w:cs="黑体" w:hint="eastAsia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存在的主要问题及改进情况</w:t>
      </w:r>
    </w:p>
    <w:p>
      <w:pPr>
        <w:pStyle w:val="Normal(Web)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rightChars="0" w:firstLineChars="200"/>
        <w:jc w:val="left"/>
        <w:textAlignment w:val="auto"/>
        <w:rPr>
          <w:rStyle w:val="Strong"/>
          <w:rFonts w:ascii="仿宋_GB2312" w:eastAsia="仿宋_GB2312" w:hAnsi="仿宋_GB2312" w:cs="仿宋_GB2312" w:hint="eastAsia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Strong"/>
          <w:rFonts w:ascii="楷体_GB2312" w:eastAsia="楷体_GB2312" w:hAnsi="楷体_GB2312" w:cs="楷体_GB2312" w:hint="eastAsia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（一）存在的问题：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县生态环境局政府信息公开工作虽然取得了一些成绩，但也存在一些不足。业务工作办理情况和工作动态公开还有些滞后，需加强信息报送时效。</w:t>
      </w:r>
    </w:p>
    <w:p>
      <w:pPr>
        <w:pStyle w:val="Normal(Web)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rightChars="0" w:firstLineChars="200"/>
        <w:jc w:val="left"/>
        <w:textAlignment w:val="auto"/>
        <w:rPr>
          <w:rStyle w:val="Strong"/>
          <w:rFonts w:ascii="仿宋_GB2312" w:eastAsia="仿宋_GB2312" w:hAnsi="仿宋_GB2312" w:cs="仿宋_GB2312" w:hint="eastAsia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Strong"/>
          <w:rFonts w:ascii="楷体_GB2312" w:eastAsia="楷体_GB2312" w:hAnsi="楷体_GB2312" w:cs="楷体_GB2312" w:hint="eastAsia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（二）下一步改进措施：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今后，县生态环境局将强化责任落实，充实政府信息公开信息来源，创新政府信息公开的方式方法，丰富信息内容，提高信息时效性。加强对政府信息公开的学习，增强工作主动性，提高政府信息公开工作水平。结合单位实际，及时公开环境保护信息公开，确保环境保护信息公开深入推进。不断提高政信息府工作的实效性，切实保障公众的知情权和监督权。</w:t>
      </w:r>
    </w:p>
    <w:p>
      <w:pPr>
        <w:pStyle w:val="Normal(Web)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rightChars="0" w:firstLineChars="200"/>
        <w:jc w:val="left"/>
        <w:textAlignment w:val="auto"/>
        <w:rPr>
          <w:rStyle w:val="Strong"/>
          <w:rFonts w:ascii="黑体" w:eastAsia="黑体" w:hAnsi="黑体" w:cs="黑体" w:hint="eastAsia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Strong"/>
          <w:rFonts w:ascii="黑体" w:eastAsia="黑体" w:hAnsi="黑体" w:cs="黑体" w:hint="eastAsia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六、</w:t>
      </w:r>
      <w:r>
        <w:rPr>
          <w:rStyle w:val="Strong"/>
          <w:rFonts w:ascii="黑体" w:eastAsia="黑体" w:hAnsi="黑体" w:cs="黑体" w:hint="eastAsia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其他需要报告的事项</w:t>
      </w:r>
    </w:p>
    <w:p>
      <w:pPr>
        <w:pStyle w:val="Normal(Web)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rightChars="0" w:firstLineChars="200"/>
        <w:jc w:val="left"/>
        <w:textAlignment w:val="auto"/>
        <w:rPr>
          <w:rFonts w:ascii="仿宋_GB2312" w:eastAsia="仿宋_GB2312" w:hAnsi="仿宋_GB2312" w:cs="仿宋_GB2312" w:hint="eastAsia"/>
          <w:sz w:val="32"/>
          <w:szCs w:val="36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6"/>
          <w:lang w:val="en-US" w:eastAsia="zh-CN"/>
        </w:rPr>
        <w:t xml:space="preserve">2021度暂无其他需要报告的事项。</w:t>
      </w:r>
    </w:p>
    <w:p>
      <w:pPr>
        <w:pStyle w:val="UserStyle_0"/>
        <w:spacing w:line="560" w:lineRule="exact"/>
        <w:ind w:firstLine="4790" w:firstLineChars="1497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>
      <w:pPr>
        <w:pStyle w:val="UserStyle_0"/>
        <w:spacing w:line="560" w:lineRule="exact"/>
        <w:ind w:firstLine="4790" w:firstLineChars="1497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>
      <w:pPr>
        <w:pStyle w:val="UserStyle_0"/>
        <w:spacing w:line="560" w:lineRule="exact"/>
        <w:ind w:firstLine="4790" w:firstLineChars="1497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刚察县生态环境局</w:t>
      </w:r>
    </w:p>
    <w:p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2022年1月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日</w:t>
      </w:r>
    </w:p>
    <w:p>
      <w:pPr>
        <w:pStyle w:val="PlainText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信息宜公开选项：宜公开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1" name="_x0000_s1065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65" o:spid="_x0000_s1068" style="mso-height-relative:page;mso-width-relative:page;mso-wrap-distance-bottom:0;mso-wrap-distance-left:9pt;mso-wrap-distance-right:9pt;mso-wrap-distance-top:0;mso-wrap-style:square;position:absolute;v-text-anchor:top;z-index:251659264" from="0,0.8pt" to="6in,0.8pt" coordsize="21600,21600" stroked="t" strokecolor="#000" strokeweight="1.5pt">
                <v:stroke joinstyle="round" dashstyle="solid" linestyle="single" endcap="flat" startarrow="none" startarrowwidth="medium" startarrowlength="medium" endarrow="none" endarrowwidth="medium" endarrowlength="medium"/>
                <w10:bordertop type="single" width="12"/>
                <w10:borderleft type="single" width="12"/>
                <w10:borderbottom type="single" width="12"/>
                <w10:borderright type="single" width="12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 xml:space="preserve">抄送：档。</w:t>
      </w:r>
    </w:p>
    <w:p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5486400" cy="0"/>
                <wp:effectExtent l="0" t="9525" r="0" b="9525"/>
                <wp:wrapNone/>
                <wp:docPr id="2" name="_x0000_s1066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66" o:spid="_x0000_s1069" style="mso-height-relative:page;mso-width-relative:page;mso-wrap-distance-bottom:0;mso-wrap-distance-left:9pt;mso-wrap-distance-right:9pt;mso-wrap-distance-top:0;mso-wrap-style:square;position:absolute;v-text-anchor:top;z-index:251660288" from="0,4.7pt" to="6in,4.7pt" coordsize="21600,21600" stroked="t" strokecolor="#000" strokeweight="1.5pt">
                <v:stroke joinstyle="round" dashstyle="solid" linestyle="single" endcap="flat" startarrow="none" startarrowwidth="medium" startarrowlength="medium" endarrow="none" endarrowwidth="medium" endarrowlength="medium"/>
                <w10:bordertop type="single" width="12"/>
                <w10:borderleft type="single" width="12"/>
                <w10:borderbottom type="single" width="12"/>
                <w10:borderright type="single" width="12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</w:t>
      </w:r>
    </w:p>
    <w:p>
      <w:pPr/>
    </w:p>
    <w:sectPr>
      <w:footerReference w:type="default" r:id="rId4"/>
      <w:pgSz w:w="11906" w:h="16838" w:orient="portrait"/>
      <w:pgMar w:top="1440" w:right="1800" w:bottom="1440" w:left="1800" w:header="851" w:footer="992" w:gutter="0"/>
      <w:cols w:num="1" w:space="720">
        <w:col w:w="8306" w:space="72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</w:pPr>
    <w:r>
      <w:rPr>
        <w:sz w:val="18"/>
      </w:rPr>
      <mc:AlternateContent xmlns:mc="http://schemas.openxmlformats.org/markup-compatibility/2006"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_x0000_s1067"/>
              <wp:cNvGraphicFramePr>
                <a:graphicFrameLocks xmlns:a="http://schemas.openxmlformats.org/drawingml/2006/main"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o:spid="_x0000_s1070" type="#_x0000_t202" style="height:2in;margin-left:0;margin-top:0;mso-height-relative:page;mso-position-horizontal:center;mso-position-horizontal-relative:margin;mso-width-relative:page;mso-wrap-distance-bottom:0;mso-wrap-distance-left:9pt;mso-wrap-distance-right:9pt;mso-wrap-distance-top:0;mso-wrap-style:none;position:absolute;v-text-anchor:top;width:2in;z-index:251659264" coordsize="21600,21600" filled="f" stroked="f" strokeweight="0.5pt">
              <w10:bordertop type="none" width="0"/>
              <w10:borderleft type="none" width="0"/>
              <w10:borderbottom type="none" width="0"/>
              <w10:borderright type="none" width="0"/>
              <v:textbox style="layout-flow:horizontal;mso-fit-shape-to-text:t" inset="0,0,0,0">
                <w:txbxContent>
                  <w:p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 xml:space="preserve"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50"/>
  <w:embedSystemFont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 w:qFormat="1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qFormat="1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">
    <w:name w:val="Body Text First Indent"/>
    <w:basedOn w:val="BodyText"/>
    <w:next w:val="Normal"/>
    <w:qFormat/>
    <w:pPr>
      <w:snapToGrid/>
      <w:spacing w:after="120"/>
      <w:ind w:firstLine="420" w:firstLineChars="100"/>
    </w:pPr>
    <w:rPr>
      <w:kern w:val="2"/>
    </w:rPr>
  </w:style>
  <w:style w:type="paragraph" w:styleId="BodyText">
    <w:name w:val="Body Text"/>
    <w:basedOn w:val="Normal"/>
    <w:qFormat/>
    <w:rPr>
      <w:rFonts w:ascii="Times New Roman" w:hAnsi="Times New Roman"/>
      <w:w w:val="150"/>
      <w:kern w:val="18"/>
    </w:rPr>
  </w:style>
  <w:style w:type="paragraph" w:styleId="PlainText">
    <w:name w:val="Plain Text"/>
    <w:basedOn w:val="Normal"/>
    <w:uiPriority w:val="99"/>
    <w:unhideWhenUsed/>
    <w:qFormat/>
    <w:rPr>
      <w:rFonts w:ascii="宋体" w:eastAsia="宋体" w:hAnsi="Courier New" w:cs="Courier New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Normal(Web)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Strong">
    <w:name w:val="Strong"/>
    <w:basedOn w:val="DefaultParagraphFont"/>
    <w:qFormat/>
    <w:rPr>
      <w:b/>
    </w:rPr>
  </w:style>
  <w:style w:type="paragraph" w:customStyle="1" w:styleId="UserStyle_0">
    <w:name w:val="UserStyle_0"/>
    <w:qFormat/>
    <w:pPr>
      <w:spacing w:line="460" w:lineRule="atLeast"/>
      <w:ind w:left="1" w:firstLine="419"/>
      <w:jc w:val="both"/>
      <w:textAlignment w:val="bottom"/>
    </w:pPr>
    <w:rPr>
      <w:rFonts w:ascii="Calibri" w:eastAsia="仿宋_GB2312" w:hAnsi="Calibri" w:cs="Times New Roman"/>
      <w:sz w:val="32"/>
      <w:szCs w:val="22"/>
      <w:lang w:val="en-US" w:eastAsia="zh-CN" w:bidi="ar-SA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2052-11.1.0.11194</vt:lpstr>
  </property>
  <property fmtid="{D5CDD505-2E9C-101B-9397-08002B2CF9AE}" pid="3" name="ICV">
    <vt:lpstr>DB3F38474B9546678E019E4DEFB79A24</vt:lpstr>
  </property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DB3F38474B9546678E019E4DEFB79A24</vt:lpwstr>
  </property>
</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29</TotalTime>
  <Pages>1</Pages>
  <Words>0</Words>
  <Characters>0</Characters>
  <Application>WPS Office_11.1.0.11194_F1E327BC-269C-435d-A152-05C5408002CA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cp:lastPrinted>2022-01-20T09:03:55Z</cp:lastPrinted>
  <dcterms:created xsi:type="dcterms:W3CDTF">2022-01-20T08:16:00Z</dcterms:created>
  <dcterms:modified xsi:type="dcterms:W3CDTF">2022-01-20T09:04:22Z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2052-11.1.0.11194</vt:lpstr>
  </property>
  <property fmtid="{D5CDD505-2E9C-101B-9397-08002B2CF9AE}" pid="3" name="ICV">
    <vt:lpstr>DB3F38474B9546678E019E4DEFB79A24</vt:lpstr>
  </property>
</Properties>
</file>