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 w:hAnsi="宋体"/>
          <w:sz w:val="32"/>
        </w:rPr>
      </w:pPr>
    </w:p>
    <w:p>
      <w:pPr>
        <w:spacing w:line="560" w:lineRule="exact"/>
        <w:rPr>
          <w:rFonts w:ascii="仿宋_GB2312" w:eastAsia="仿宋_GB2312" w:hAnsi="宋体"/>
          <w:szCs w:val="21"/>
        </w:rPr>
      </w:pPr>
    </w:p>
    <w:p>
      <w:pPr>
        <w:spacing w:line="560" w:lineRule="exact"/>
        <w:ind w:firstLine="2240" w:firstLineChars="700"/>
        <w:rPr>
          <w:rFonts w:ascii="仿宋_GB2312" w:eastAsia="仿宋_GB2312" w:hAnsi="宋体" w:hint="eastAsia"/>
          <w:sz w:val="32"/>
          <w:lang w:val="en-US" w:eastAsia="zh-CN"/>
        </w:rPr>
      </w:pPr>
      <w:r>
        <w:rPr>
          <w:rFonts w:ascii="仿宋_GB2312" w:eastAsia="仿宋_GB2312" w:hAnsi="宋体" w:hint="eastAsia"/>
          <w:sz w:val="32"/>
        </w:rPr>
        <w:t xml:space="preserve">202</w:t>
      </w:r>
      <w:r>
        <w:rPr>
          <w:rFonts w:ascii="仿宋_GB2312" w:eastAsia="仿宋_GB2312" w:hAnsi="宋体" w:hint="eastAsia"/>
          <w:sz w:val="32"/>
          <w:lang w:val="en-US" w:eastAsia="zh-CN"/>
        </w:rPr>
        <w:t xml:space="preserve">2</w:t>
      </w:r>
      <w:r>
        <w:rPr>
          <w:rFonts w:ascii="仿宋_GB2312" w:eastAsia="仿宋_GB2312" w:hAnsi="宋体" w:hint="eastAsia"/>
          <w:sz w:val="32"/>
        </w:rPr>
        <w:t xml:space="preserve">    </w:t>
      </w:r>
      <w:r>
        <w:rPr>
          <w:rFonts w:ascii="仿宋_GB2312" w:eastAsia="仿宋_GB2312" w:hAnsi="宋体" w:hint="eastAsia"/>
          <w:sz w:val="32"/>
          <w:lang w:val="en-US" w:eastAsia="zh-CN"/>
        </w:rPr>
        <w:t xml:space="preserve">12</w:t>
      </w:r>
      <w:bookmarkStart w:id="0" w:name="_GoBack"/>
      <w:bookmarkEnd w:id="0"/>
      <w:r>
        <w:rPr>
          <w:rFonts w:ascii="仿宋_GB2312" w:eastAsia="仿宋_GB2312" w:hAnsi="宋体" w:hint="eastAsia"/>
          <w:sz w:val="32"/>
        </w:rPr>
        <w:t xml:space="preserve">                   </w:t>
      </w:r>
      <w:r>
        <w:rPr>
          <w:rFonts w:ascii="仿宋_GB2312" w:eastAsia="仿宋_GB2312" w:hAnsi="宋体" w:hint="eastAsia"/>
          <w:sz w:val="32"/>
          <w:lang w:val="en-US" w:eastAsia="zh-CN"/>
        </w:rPr>
        <w:t xml:space="preserve">  叶旦</w:t>
      </w:r>
    </w:p>
    <w:p>
      <w:pPr>
        <w:spacing w:line="560" w:lineRule="exact"/>
        <w:ind w:firstLine="1440" w:firstLineChars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哈尔盖镇人民政府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上报《哈尔盖镇2021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年度政府信息公开工作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报告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》的报告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县政府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现将《</w:t>
      </w:r>
      <w:r>
        <w:rPr>
          <w:rFonts w:ascii="仿宋_GB2312" w:eastAsia="仿宋_GB2312" w:hAnsi="华文中宋" w:hint="eastAsia"/>
          <w:sz w:val="32"/>
          <w:szCs w:val="32"/>
          <w:lang w:val="en-US" w:eastAsia="zh-CN"/>
        </w:rPr>
        <w:t xml:space="preserve">哈尔盖镇2021年政府</w:t>
      </w:r>
      <w:r>
        <w:rPr>
          <w:rFonts w:ascii="仿宋_GB2312" w:eastAsia="仿宋_GB2312" w:hAnsi="华文中宋" w:hint="eastAsia"/>
          <w:sz w:val="32"/>
          <w:szCs w:val="32"/>
          <w:lang w:eastAsia="zh-CN"/>
        </w:rPr>
        <w:t xml:space="preserve">信息公开工作年度报告</w:t>
      </w:r>
      <w:r>
        <w:rPr>
          <w:rFonts w:ascii="仿宋_GB2312" w:eastAsia="仿宋_GB2312" w:hint="eastAsia"/>
          <w:sz w:val="32"/>
          <w:szCs w:val="32"/>
        </w:rPr>
        <w:t xml:space="preserve">》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随文呈上，请审阅。</w:t>
      </w:r>
    </w:p>
    <w:p>
      <w:pPr>
        <w:pStyle w:val="Foo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附件：哈尔盖</w:t>
      </w:r>
      <w:r>
        <w:rPr>
          <w:rFonts w:ascii="仿宋_GB2312" w:eastAsia="仿宋_GB2312" w:hAnsi="华文中宋" w:hint="eastAsia"/>
          <w:sz w:val="32"/>
          <w:szCs w:val="32"/>
          <w:lang w:val="en-US" w:eastAsia="zh-CN"/>
        </w:rPr>
        <w:t xml:space="preserve">镇2021年度政府</w:t>
      </w:r>
      <w:r>
        <w:rPr>
          <w:rFonts w:ascii="仿宋_GB2312" w:eastAsia="仿宋_GB2312" w:hAnsi="华文中宋" w:hint="eastAsia"/>
          <w:sz w:val="32"/>
          <w:szCs w:val="32"/>
          <w:lang w:eastAsia="zh-CN"/>
        </w:rPr>
        <w:t xml:space="preserve"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pStyle w:val="Footer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jc w:val="both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哈尔盖镇人民政府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 xml:space="preserve">20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22</w:t>
      </w:r>
      <w:r>
        <w:rPr>
          <w:rFonts w:ascii="仿宋_GB2312" w:eastAsia="仿宋_GB2312" w:hAnsi="仿宋" w:hint="eastAsia"/>
          <w:sz w:val="32"/>
          <w:szCs w:val="32"/>
        </w:rPr>
        <w:t xml:space="preserve">年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 w:hAnsi="仿宋" w:hint="eastAsia"/>
          <w:sz w:val="32"/>
          <w:szCs w:val="32"/>
        </w:rPr>
        <w:t xml:space="preserve">月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20</w:t>
      </w:r>
      <w:r>
        <w:rPr>
          <w:rFonts w:ascii="仿宋_GB2312" w:eastAsia="仿宋_GB2312" w:hAnsi="仿宋" w:hint="eastAsia"/>
          <w:sz w:val="32"/>
          <w:szCs w:val="32"/>
        </w:rPr>
        <w:t xml:space="preserve">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leftChars="0" w:firstLineChars="0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仿宋" w:eastAsia="仿宋" w:hAnsi="仿宋" w:hint="eastAsia"/>
          <w:sz w:val="34"/>
          <w:szCs w:val="34"/>
          <w:u w:val="single"/>
        </w:rPr>
        <w:t xml:space="preserve">                                      　  </w:t>
      </w:r>
      <w:r>
        <w:rPr>
          <w:rFonts w:ascii="仿宋" w:eastAsia="仿宋" w:hAnsi="仿宋" w:hint="eastAsia"/>
          <w:sz w:val="34"/>
          <w:szCs w:val="34"/>
          <w:u w:val="single"/>
          <w:lang w:val="en-US" w:eastAsia="zh-CN"/>
        </w:rPr>
        <w:t xml:space="preserve">    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      </w:t>
      </w:r>
      <w:r>
        <w:rPr>
          <w:rFonts w:ascii="仿宋" w:eastAsia="仿宋" w:hAnsi="仿宋" w:hint="eastAsia"/>
          <w:sz w:val="34"/>
          <w:szCs w:val="34"/>
        </w:rPr>
        <w:t xml:space="preserve"> 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哈尔盖镇人民政府              </w:t>
      </w:r>
      <w:r>
        <w:rPr>
          <w:rFonts w:ascii="仿宋_GB2312" w:eastAsia="仿宋_GB2312" w:hAnsi="仿宋_GB2312" w:cs="仿宋_GB2312" w:hint="eastAsia"/>
          <w:sz w:val="32"/>
          <w:u w:val="single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20</w:t>
      </w:r>
      <w:r>
        <w:rPr>
          <w:rFonts w:ascii="仿宋_GB2312" w:eastAsia="仿宋_GB2312" w:hAnsi="仿宋_GB2312" w:cs="仿宋_GB2312" w:hint="eastAsia"/>
          <w:sz w:val="32"/>
          <w:u w:val="single"/>
          <w:lang w:val="en-US" w:eastAsia="zh-CN"/>
        </w:rPr>
        <w:t xml:space="preserve">22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年</w:t>
      </w:r>
      <w:r>
        <w:rPr>
          <w:rFonts w:ascii="仿宋_GB2312" w:eastAsia="仿宋_GB2312" w:hAnsi="仿宋_GB2312" w:cs="仿宋_GB2312" w:hint="eastAsia"/>
          <w:sz w:val="32"/>
          <w:u w:val="single"/>
          <w:lang w:val="en-US" w:eastAsia="zh-CN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月</w:t>
      </w:r>
      <w:r>
        <w:rPr>
          <w:rFonts w:ascii="仿宋_GB2312" w:eastAsia="仿宋_GB2312" w:hAnsi="仿宋_GB2312" w:cs="仿宋_GB2312" w:hint="eastAsia"/>
          <w:sz w:val="32"/>
          <w:u w:val="single"/>
          <w:lang w:val="en-US" w:eastAsia="zh-CN"/>
        </w:rPr>
        <w:t xml:space="preserve">20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日印发</w:t>
      </w:r>
      <w:r>
        <w:rPr>
          <w:rFonts w:ascii="仿宋" w:eastAsia="仿宋" w:hAnsi="仿宋" w:hint="eastAsia"/>
          <w:sz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哈尔盖镇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2021年政府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根据《中华人民共和国政府信息公开条例》规定和海北州人民政府办公室关于转发《中华人民共和国政府信息公开工作年度报告格式》的通知（北政办秘〔2022〕1号）要求，特向社会公布哈尔盖镇2021年度信息公开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 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本报告由哈尔盖镇人民政府根据《中华人民共和国政府信息公开条例》（以下简称《条例》）规定编制。全文包括总体情况，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主动公开政府信息情况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，收到和处理政府信息公开申请情况，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政府信息公开行政复议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、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行政诉讼情况，存在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的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主要问题及改进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情况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，以及其他需要报告的事项。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报告中所列数据的统计期限为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20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21年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月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日至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12月28日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20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21年，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在县委、县政府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统一部署下，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哈尔盖镇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党委、政府高度重视政府信息公开工作，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不断健全完善政务信息公开工作制度，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认真贯彻落实</w:t>
      </w:r>
      <w: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  <w:t xml:space="preserve">《条例》等文件精神，深入推进政府信息公开工作，坚持把政府信息公开作为加强党风廉政建设、提高工作效能的重要举措，坚持以信息公开取信于民，突出推进重点领域政府信息公开和政府决策公开，不断创新政府信息公开载体形式，稳步推进了政府信息公开工作的扎实有效开展,做到应公开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 xml:space="preserve">（一）加强组织领导。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切实加强领导职责，贯彻落实好相关文件精神，在召开各项会议时按照“公开是原则，不公开是例外”要求各村（社区）、镇属各单位对不涉密、应公开的政务及时通过多种渠道公开化、透明化，让群众知镇情、懂政意，参政事，切实发挥政务信息公开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 xml:space="preserve">（二）完善制度建设。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我镇认真贯彻落实《中华人民共和国政府信息公开条例》和县委、县政府有关文件精神，并将政务公开工作摆在重要议程，列入重要议事日程，保障经费。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我镇根据相关要求，结合实际，在日常工作、会议中邀请群众代表参会，会后及时通过简报信息或图片资料及时公布会议内容。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以社会广泛关注、涉及群众切身利益的医疗、社会救助、农村产权制度改革等问题为重点，不断调整、充实、扩大信息公开内容，不断完善制度建设，提升主动公开信息质量，加大重点领域信息公开力度。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 xml:space="preserve">（三）拓宽宣传渠道。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利用信息化手段丰富信息公开形式，拓宽信息公开渠道，以政务信息网络平台和政府院内政务公开宣传栏为载体，现代方法与传统方法相结合，加大宣传力度，营造良好氛围，确保政府信息公开工作依法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二、主动公开政府信息情况</w:t>
      </w:r>
    </w:p>
    <w:tbl>
      <w:tblPr>
        <w:tblStyle w:val="TableNormal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328"/>
        <w:gridCol w:w="1660"/>
        <w:gridCol w:w="6"/>
        <w:gridCol w:w="1265"/>
        <w:gridCol w:w="1881"/>
      </w:tblGrid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第二十条第（一）项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  <w:jc w:val="center"/>
        </w:trPr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信息内容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eastAsiaTheme="minorEastAsia" w:cs="宋体"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本年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制发件数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本年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废纸件数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现行有效件数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规章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行政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规范性文件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第二十条第（五）项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信息内容</w:t>
            </w:r>
          </w:p>
        </w:tc>
        <w:tc>
          <w:tcPr>
            <w:tcW w:w="4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本年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处理决定数量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行政许可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第二十条第（六）项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信息内容</w:t>
            </w:r>
          </w:p>
        </w:tc>
        <w:tc>
          <w:tcPr>
            <w:tcW w:w="4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本年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处理决定数量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行政处罚</w:t>
            </w:r>
          </w:p>
        </w:tc>
        <w:tc>
          <w:tcPr>
            <w:tcW w:w="4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  <w:jc w:val="center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行政强制</w:t>
            </w:r>
          </w:p>
        </w:tc>
        <w:tc>
          <w:tcPr>
            <w:tcW w:w="4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第二十条第（八）项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信息内容</w:t>
            </w:r>
          </w:p>
        </w:tc>
        <w:tc>
          <w:tcPr>
            <w:tcW w:w="4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eastAsiaTheme="minorEastAsia" w:cs="宋体"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本年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收费金额</w:t>
            </w:r>
          </w:p>
        </w:tc>
      </w:tr>
      <w:tr>
        <w:tblPrEx>
          <w:tblW w:w="81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行政事业性收费</w:t>
            </w:r>
          </w:p>
        </w:tc>
        <w:tc>
          <w:tcPr>
            <w:tcW w:w="4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三、收到和处理政府信息公开申请情况</w:t>
      </w:r>
    </w:p>
    <w:tbl>
      <w:tblPr>
        <w:tblStyle w:val="TableNormal"/>
        <w:tblW w:w="8123" w:type="dxa"/>
        <w:jc w:val="center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903"/>
        <w:gridCol w:w="637"/>
        <w:gridCol w:w="667"/>
        <w:gridCol w:w="667"/>
        <w:gridCol w:w="717"/>
        <w:gridCol w:w="855"/>
        <w:gridCol w:w="629"/>
        <w:gridCol w:w="616"/>
      </w:tblGrid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3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7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申请人情况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33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自然人</w:t>
            </w:r>
          </w:p>
        </w:tc>
        <w:tc>
          <w:tcPr>
            <w:tcW w:w="3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法人或其他组织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总计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  <w:jc w:val="center"/>
        </w:trPr>
        <w:tc>
          <w:tcPr>
            <w:tcW w:w="33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科研机构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社会公益组织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一、本年新收政府信息公开申请数量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二、上年结转政府信息公开申请数量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三、本年度办理结果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（一）予以公开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（二）部分公开（区分处理的，只计这一情形，不计其他情形）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（三）不予公开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1.属于国家秘密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2.其他法律行政法规禁止公开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3.危及“三安全一稳定”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4.保护第三方合法权益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5.属于三类内部事务信息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6.属于四类过程性信息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7.属于行政执法案卷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8.属于行政查询事项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（四）无法提供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1.本机关不掌握相关政府信息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2.没有现成信息需要另行制作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3.补正后申请内容仍不明确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（五）不予处理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1.信访举报投诉类申请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2.重复申请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3.要求提供公开出版物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4.无正当理由大量反复申请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5.要求行政机关确认或重新出具已获取信息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（六）其他处理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（七）总计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  <w:tr>
        <w:tblPrEx>
          <w:tblW w:w="812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  <w:jc w:val="center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四、结转下年度继续办理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四、因政府信息公开工作被申请行政复议、提起行政诉讼情况</w:t>
      </w:r>
    </w:p>
    <w:tbl>
      <w:tblPr>
        <w:tblStyle w:val="TableNormal"/>
        <w:tblW w:w="7743" w:type="dxa"/>
        <w:jc w:val="center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rPr>
          <w:trHeight w:val="384"/>
          <w:jc w:val="center"/>
        </w:trPr>
        <w:tc>
          <w:tcPr>
            <w:tcW w:w="2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行政复议</w:t>
            </w:r>
          </w:p>
        </w:tc>
        <w:tc>
          <w:tcPr>
            <w:tcW w:w="51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行政诉讼</w:t>
            </w:r>
          </w:p>
        </w:tc>
      </w:tr>
      <w:tr>
        <w:trPr>
          <w:trHeight w:val="337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结果纠正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其他结果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尚未审结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总计</w:t>
            </w:r>
          </w:p>
        </w:tc>
        <w:tc>
          <w:tcPr>
            <w:tcW w:w="2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未经复议直接起诉</w:t>
            </w:r>
          </w:p>
        </w:tc>
        <w:tc>
          <w:tcPr>
            <w:tcW w:w="2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复议后起诉</w:t>
            </w:r>
          </w:p>
        </w:tc>
      </w:tr>
      <w:tr>
        <w:tblPrEx>
          <w:tblW w:w="774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尚未审结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总计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尚未审结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总计</w:t>
            </w:r>
          </w:p>
        </w:tc>
      </w:tr>
      <w:tr>
        <w:tblPrEx>
          <w:tblW w:w="774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 xml:space="preserve">（一）存在问题。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对信息公开的重要性认识不足，公开意识、主动性需要进一步强化；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乡镇负责政府信息公开人员身兼数职，政府信息公开工作虽然能及时完成，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专业性和针对性有待提高；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政务公开宣传范围局限，收效甚浅。适合群众查阅政府信息的形式较少。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 xml:space="preserve">（二）改进措施。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扩展公开范围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在继续加强各领域政府信息公开的同时，着力加大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、村级政务公开工作，加强低保、救助、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耕地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补助等涉及民生项目的监管公开，做到政策公开、资金公开。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拓宽信息公开途径。通过网络、微信等多种方式加大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农牧区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惠民政策宣传力度，进一步细化信息公开工作流程，拓宽公开渠道，确保操作简便明了，利于查找。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 xml:space="preserve">三是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进一步完善信息公开工作机构。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加强政府信息公开信息员队伍建设，提升信息员综合素质，提高工作效率。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截至目前，暂无其他需要报告的事项。</w:t>
      </w:r>
    </w:p>
    <w:sectPr>
      <w:pgSz w:w="11906" w:h="16838" w:orient="portrait"/>
      <w:pgMar w:top="2098" w:right="1474" w:bottom="1984" w:left="1587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>
        <w:col w:w="8845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30"/>
  <w:doNotDisplayPageBoundaries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next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93F3B81C46BC4BD1827136C10BD10854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93F3B81C46BC4BD1827136C10BD10854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</Pages>
  <Words>0</Words>
  <Characters>0</Characters>
  <Application>WPS Office_11.1.0.11294_F1E327BC-269C-435d-A152-05C5408002CA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じ独自守候わ</cp:lastModifiedBy>
  <cp:revision>1</cp:revision>
  <cp:lastPrinted>2021-01-19T07:43:00Z</cp:lastPrinted>
  <dcterms:created xsi:type="dcterms:W3CDTF">2021-01-18T07:35:00Z</dcterms:created>
  <dcterms:modified xsi:type="dcterms:W3CDTF">2022-01-20T09:25:08Z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93F3B81C46BC4BD1827136C10BD10854</vt:lpstr>
  </property>
</Properties>
</file>