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tabs>
          <w:tab w:val="left" w:pos="2041"/>
          <w:tab w:val="center" w:pos="4482"/>
          <w:tab w:val="left" w:pos="5476"/>
        </w:tabs>
        <w:jc w:val="left"/>
        <w:rPr>
          <w:rFonts w:ascii="方正书宋简体" w:eastAsia="方正书宋简体" w:hint="eastAsia"/>
          <w:color w:val="000000"/>
          <w:sz w:val="52"/>
          <w:szCs w:val="52"/>
        </w:rPr>
      </w:pPr>
      <w:r>
        <w:rPr>
          <w:rFonts w:ascii="宋体" w:eastAsia="宋体" w:hAnsi="宋体" w:cs="宋体" w:hint="eastAsia"/>
          <w:b/>
          <w:sz w:val="44"/>
          <w:lang w:val="en-US"/>
        </w:rPr>
        <w:t xml:space="preserve">    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spacing w:line="4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泉政〔202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〕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 xml:space="preserve">18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</w:p>
    <w:p>
      <w:pPr>
        <w:pStyle w:val="BodyTextFirstIndent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  <w:lang w:eastAsia="zh-CN"/>
        </w:rPr>
        <w:t xml:space="preserve">泉吉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乡人民政府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ahoma"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关于上报《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 xml:space="preserve">2021年度政府信息公开》的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 xml:space="preserve">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hint="eastAsia"/>
          <w:b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县电子政务中心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现将《</w:t>
      </w: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泉吉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乡人民政府</w:t>
      </w: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信息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公开工作年度报告》随文附上，妥否，请批示。</w:t>
      </w: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 xml:space="preserve">泉吉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乡人民政府 </w:t>
      </w: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202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/>
        </w:rPr>
        <w:t xml:space="preserve"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年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/>
        </w:rPr>
        <w:t xml:space="preserve">8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日</w:t>
      </w: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98"/>
          <w:tab w:val="left" w:pos="8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tbl>
      <w:tblPr>
        <w:tblStyle w:val="TableNormal"/>
        <w:tblpPr w:leftFromText="180" w:rightFromText="180" w:vertAnchor="text" w:horzAnchor="page" w:tblpX="2052" w:tblpY="627"/>
        <w:tblOverlap w:val="never"/>
        <w:tblW w:w="0" w:type="auto"/>
        <w:tblInd w:w="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072"/>
      </w:tblGrid>
      <w:tr>
        <w:tblPrEx>
          <w:tblW w:w="0" w:type="auto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9072" w:type="dxa"/>
            <w:noWrap w:val="0"/>
          </w:tcPr>
          <w:p>
            <w:pPr>
              <w:tabs>
                <w:tab w:val="left" w:pos="1498"/>
              </w:tabs>
              <w:spacing w:line="560" w:lineRule="exac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eastAsia="zh-CN"/>
              </w:rPr>
              <w:t xml:space="preserve">泉吉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乡人民政府                 202</w:t>
            </w: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en-US" w:eastAsia="zh-CN"/>
              </w:rPr>
              <w:t xml:space="preserve">2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年</w:t>
            </w: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en-US" w:eastAsia="zh-CN"/>
              </w:rPr>
              <w:t xml:space="preserve">1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月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val="en-US" w:eastAsia="zh-CN"/>
              </w:rPr>
              <w:t xml:space="preserve">1</w:t>
            </w: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en-US" w:eastAsia="zh-CN"/>
              </w:rPr>
              <w:t xml:space="preserve">8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日印发</w:t>
            </w:r>
          </w:p>
        </w:tc>
      </w:tr>
    </w:tbl>
    <w:p>
      <w:pPr>
        <w:pStyle w:val="BodyText"/>
        <w:spacing w:before="214" w:line="560" w:lineRule="exact"/>
        <w:ind w:right="229" w:firstLine="1760" w:firstLineChars="400"/>
        <w:contextualSpacing/>
        <w:jc w:val="both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泉吉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乡人民政府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信息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公开工作</w:t>
      </w:r>
    </w:p>
    <w:p>
      <w:pPr>
        <w:pStyle w:val="BodyText"/>
        <w:spacing w:before="214" w:line="560" w:lineRule="exact"/>
        <w:ind w:right="229"/>
        <w:contextualSpacing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年度报告</w:t>
      </w:r>
    </w:p>
    <w:p>
      <w:pPr>
        <w:pStyle w:val="BodyText"/>
        <w:spacing w:before="214" w:line="560" w:lineRule="exact"/>
        <w:ind w:right="229"/>
        <w:contextualSpacing/>
        <w:jc w:val="left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</w:rPr>
        <w:t xml:space="preserve">本报告依据《中华人民共和国政府信息公开条例》（国务院令第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711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号）和《中华人民共和国政府信息公开工作年度报告格式通知》（大政办函〔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2021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〕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89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号）文件要求，结合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泉吉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乡政府信息公开工作有关统计数据撰写。特向社会公布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2021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年度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泉吉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乡政府信息公开工作年度报告，本报告由总体情况、行政机关主动公开政府信息情况、行政机关收到和处理政府信息公开申请情况、因政府信息公开工作被申请行政复议、提起行政诉讼情况、政府信息公开工作存在的主要问题和改进措施、其他需要报告的事项组成，并附相关说明和指标统计附表。本报告中使用数据统计期限为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2021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年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月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日至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12月28日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。如对本年度报告有任何疑问，请联系：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泉吉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乡人民政府办公室（联系电话：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0970-8655225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）。</w:t>
      </w:r>
    </w:p>
    <w:p>
      <w:pPr>
        <w:pStyle w:val="BodyText"/>
        <w:numPr>
          <w:ilvl w:val="0"/>
          <w:numId w:val="7"/>
        </w:numPr>
        <w:spacing w:before="9" w:line="560" w:lineRule="exact"/>
        <w:ind w:right="273" w:firstLine="643" w:firstLineChars="200"/>
        <w:contextualSpacing/>
        <w:jc w:val="both"/>
        <w:rPr>
          <w:rFonts w:ascii="黑体" w:eastAsia="黑体" w:hAnsi="黑体" w:cs="黑体" w:hint="eastAsia"/>
          <w:b/>
        </w:rPr>
      </w:pPr>
      <w:r>
        <w:rPr>
          <w:rFonts w:ascii="黑体" w:eastAsia="黑体" w:hAnsi="黑体" w:cs="黑体" w:hint="eastAsia"/>
          <w:b/>
        </w:rPr>
        <w:t xml:space="preserve">总体情况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firstLine="482" w:firstLineChars="200"/>
        <w:jc w:val="both"/>
      </w:pPr>
      <w:r>
        <w:rPr>
          <w:rFonts w:ascii="黑体" w:eastAsia="黑体" w:hAnsi="黑体" w:cs="黑体" w:hint="eastAsia"/>
          <w:b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2021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年以来，我乡高度重视政务信息公开工作，认真贯彻落实新修订的《政府信息公开条例》，坚持“公开为常态、不公开为例外”的原则，加大政府信息公开力度，数量上有所提升，质量上有所优化，进一步加强组织领导，明确责任分工，细化分解任务，加大督导力度，不断推进组织建设、平台建设、制度建设，信息公开工作的积极性、主动性不断提高，信息公开的广度和深度不断增强，工作透明度进一步提高，有效地保障了公民知情权，促进了政府公信力的提升。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eastAsia="仿宋_GB2312" w:hint="eastAsia"/>
          <w:lang w:eastAsia="zh-CN"/>
        </w:rPr>
      </w:pPr>
      <w:r>
        <w:rPr>
          <w:rStyle w:val="Strong"/>
          <w:rFonts w:ascii="楷体" w:eastAsia="楷体" w:hAnsi="楷体" w:cs="楷体"/>
          <w:i w:val="0"/>
          <w:iCs w:val="0"/>
          <w:caps w:val="0"/>
          <w:color w:val="000000"/>
          <w:spacing w:val="0"/>
          <w:sz w:val="31"/>
          <w:szCs w:val="31"/>
        </w:rPr>
        <w:t xml:space="preserve">（一）主动公开方面。</w:t>
      </w: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一是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管理和服务公开工作中，加大公开力度。着力加强建设法治政府、重点领域信息公开，乡重点工作，确保相关信息能够及时面对公众公开。</w:t>
      </w: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二是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深化重点领域，提高质量信息。</w:t>
      </w: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三是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认真做好重点领域信息公开，及时发布财政预决算、“三公”经费，“六稳”“六保”重点民生及减税降费等信息，做好本乡项目公开等财政府信息公开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。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Strong"/>
          <w:rFonts w:ascii="楷体" w:eastAsia="楷体" w:hAnsi="楷体" w:cs="楷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(二)依申请公开方面。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按照《中华人民共和国政府信息公开条例》，依法依规做好政府信息依申请公开工作，进一步理顺依申请答复办理工作程序，全面提升政府信息公开申请办理答复工作质量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Strong"/>
          <w:rFonts w:ascii="楷体" w:eastAsia="楷体" w:hAnsi="楷体" w:cs="楷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(三)政府信息公开管理方面。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始终把制度建设贯穿于政府信息公开工作，完善信息公开指南等各项规章制度。为进一步完善政务信息常态化管理机制，健全政务信息制作、公开等制度，加强重要政务信息的管理，根据工作进展情况，及时更新并定期进行全面自查清理，对发现的应公开未公开的信息按照相关的程序进行公开处理，做到有序、规范管理。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</w:pPr>
      <w:r>
        <w:rPr>
          <w:rStyle w:val="Strong"/>
          <w:rFonts w:ascii="楷体" w:eastAsia="楷体" w:hAnsi="楷体" w:cs="楷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（四）平台建设方面。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积极做好政务公开和政府信息查询点建设，积极抓好政府信息公开统一平台建设。为推进政务公开工作及政府信息查询点建设，方便群众办事，提高群众办事效率，并按照办理站室公开、服务项目公开、办理依据公开、申请材料公开、办理流程公开、承诺办结时限公开、收费标准和依据公开、服务电话公开等办理各事项，并将信息公开发布到西宁评议网站上。</w:t>
      </w:r>
    </w:p>
    <w:p>
      <w:pPr>
        <w:pStyle w:val="BodyText"/>
        <w:numPr>
          <w:ilvl w:val="0"/>
          <w:numId w:val="0"/>
        </w:numPr>
        <w:spacing w:before="9" w:line="560" w:lineRule="exact"/>
        <w:ind w:right="273" w:firstLine="622" w:rightChars="0" w:firstLineChars="200"/>
        <w:contextualSpacing/>
        <w:jc w:val="both"/>
        <w:rPr>
          <w:rFonts w:ascii="黑体" w:eastAsia="黑体" w:hAnsi="黑体" w:cs="黑体" w:hint="default"/>
          <w:b/>
          <w:lang w:val="en-US" w:eastAsia="zh-CN"/>
        </w:rPr>
      </w:pPr>
      <w:r>
        <w:rPr>
          <w:rStyle w:val="Strong"/>
          <w:rFonts w:ascii="楷体" w:eastAsia="楷体" w:hAnsi="楷体" w:cs="楷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(五)保障措施。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为进一步深化和规范政府信息公开工作，由</w:t>
      </w:r>
      <w:r>
        <w:rPr>
          <w:rFonts w:ascii="仿宋_GB2312" w:eastAsia="仿宋_GB2312" w:hAnsi="微软雅黑" w:cs="仿宋_GB2312" w:hint="eastAsia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 xml:space="preserve">泉吉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乡政府乡长具体指导、监督全乡信息公开工作，各站室按职责要求分工落实政府信息公开各项工作，办公室负责政务公开日常工作。进一步强化公开保密审查制度，严格执行“谁公开、谁审查、谁负责”、“一事一审”等保密审查规定，完善政府信息公开年度报告编制和公布制度。完善考核制度。将政府信息公开工作纳入对各站室的年度工作目标考核体系，按照日常年终考核相结合，推动政务信息公开工作走深走实。</w:t>
      </w:r>
    </w:p>
    <w:p>
      <w:pPr>
        <w:pStyle w:val="Heading1"/>
        <w:ind w:left="0"/>
        <w:jc w:val="both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 xml:space="preserve"> 二、主动公开政府信息情况</w:t>
      </w:r>
    </w:p>
    <w:tbl>
      <w:tblPr>
        <w:tblStyle w:val="TableNormal"/>
        <w:tblpPr w:leftFromText="180" w:rightFromText="180" w:vertAnchor="text" w:horzAnchor="page" w:tblpX="2224" w:tblpY="26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108"/>
        <w:gridCol w:w="1592"/>
        <w:gridCol w:w="1555"/>
        <w:gridCol w:w="187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2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  <w:p>
            <w:pPr>
              <w:pStyle w:val="TableParagraph"/>
              <w:spacing w:before="12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第二十条第（一）项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信息内容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本年发件数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本年度废件数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firstLine="396" w:firstLineChars="200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现行有效件数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规章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规范性文件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99"/>
              <w:jc w:val="center"/>
              <w:rPr>
                <w:rFonts w:ascii="仿宋_GB2312" w:eastAsia="仿宋_GB2312" w:hAnsi="仿宋_GB2312" w:cs="仿宋_GB2312"/>
                <w:w w:val="99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12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第二十条第（五）项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3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本年处理决定数量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6"/>
              <w:ind w:left="103" w:firstLine="1000" w:firstLineChars="50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行政许可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301"/>
              <w:jc w:val="center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74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第二十条第（六）项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jc w:val="both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4"/>
              </w:rPr>
              <w:tab/>
            </w:r>
          </w:p>
          <w:p>
            <w:pPr>
              <w:pStyle w:val="TableParagraph"/>
              <w:tabs>
                <w:tab w:val="left" w:pos="1867"/>
              </w:tabs>
              <w:spacing w:before="9"/>
              <w:jc w:val="center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本年处理决定数量</w:t>
            </w:r>
          </w:p>
          <w:p>
            <w:pPr>
              <w:pStyle w:val="TableParagraph"/>
              <w:ind w:left="334"/>
              <w:jc w:val="both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行政处罚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6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30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行政强制</w:t>
            </w:r>
          </w:p>
        </w:tc>
        <w:tc>
          <w:tcPr>
            <w:tcW w:w="1592" w:type="dxa"/>
          </w:tcPr>
          <w:p>
            <w:pPr>
              <w:pStyle w:val="TableParagraph"/>
              <w:spacing w:before="75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  <w:tc>
          <w:tcPr>
            <w:tcW w:w="1555" w:type="dxa"/>
          </w:tcPr>
          <w:p>
            <w:pPr>
              <w:pStyle w:val="TableParagraph"/>
              <w:spacing w:before="75"/>
              <w:ind w:left="30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301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8132" w:type="dxa"/>
            <w:gridSpan w:val="4"/>
            <w:tcBorders>
              <w:left w:val="single" w:sz="4" w:space="0" w:color="000000"/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110"/>
              <w:ind w:left="3145" w:right="3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第二十条第（八）项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126" w:right="111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信息内容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099" w:right="108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本年收费金额（单位：万元）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10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行政事业性收费</w:t>
            </w:r>
          </w:p>
        </w:tc>
        <w:tc>
          <w:tcPr>
            <w:tcW w:w="5024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147"/>
              <w:ind w:right="18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  </w:t>
            </w:r>
          </w:p>
        </w:tc>
      </w:tr>
    </w:tbl>
    <w:p>
      <w:pPr>
        <w:spacing w:before="108" w:line="560" w:lineRule="exact"/>
        <w:ind w:firstLine="440" w:firstLineChars="200"/>
        <w:jc w:val="both"/>
        <w:rPr>
          <w:rFonts w:hint="eastAsia"/>
          <w:b w:val="0"/>
          <w:bCs w:val="0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right="323" w:firstLine="640" w:firstLineChars="200"/>
        <w:jc w:val="both"/>
        <w:textAlignment w:val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三、收到和处理政府信息公开申请情况</w:t>
      </w:r>
    </w:p>
    <w:tbl>
      <w:tblPr>
        <w:tblStyle w:val="TableNormal"/>
        <w:tblpPr w:leftFromText="180" w:rightFromText="180" w:vertAnchor="text" w:horzAnchor="page" w:tblpX="2265" w:tblpY="512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5"/>
        <w:gridCol w:w="816"/>
        <w:gridCol w:w="1823"/>
        <w:gridCol w:w="717"/>
        <w:gridCol w:w="666"/>
        <w:gridCol w:w="666"/>
        <w:gridCol w:w="717"/>
        <w:gridCol w:w="855"/>
        <w:gridCol w:w="630"/>
        <w:gridCol w:w="61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4" w:type="dxa"/>
            <w:gridSpan w:val="3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24" w:righ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911" w:right="189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申请人情况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4" w:type="dxa"/>
            <w:gridSpan w:val="3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17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7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256" w:right="140" w:hanging="101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自然人</w:t>
            </w:r>
          </w:p>
        </w:tc>
        <w:tc>
          <w:tcPr>
            <w:tcW w:w="3534" w:type="dxa"/>
            <w:gridSpan w:val="5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法人或其他组织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3254" w:type="dxa"/>
            <w:gridSpan w:val="3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2" w:right="113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商业企业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1" w:right="114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科研机构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5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社会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156" w:right="140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0"/>
              </w:rPr>
              <w:t xml:space="preserve">公益</w:t>
            </w:r>
            <w:r>
              <w:rPr>
                <w:rFonts w:ascii="仿宋_GB2312" w:eastAsia="仿宋_GB2312" w:hAnsi="仿宋_GB2312" w:cs="仿宋_GB2312" w:hint="eastAsia"/>
                <w:spacing w:val="-9"/>
                <w:w w:val="95"/>
                <w:sz w:val="20"/>
              </w:rPr>
              <w:t xml:space="preserve">组织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25" w:righ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法律服务机构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right="78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其他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254" w:type="dxa"/>
            <w:gridSpan w:val="3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5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一、本年新收政府信息公开申请数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5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量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54" w:type="dxa"/>
            <w:gridSpan w:val="3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5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二、上年结转政府信息公开申请数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560" w:lineRule="exact"/>
              <w:ind w:left="105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量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5" w:type="dxa"/>
            <w:vMerge w:val="restart"/>
            <w:tcBorders>
              <w:bottom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05" w:right="89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三、本年度办理结果</w:t>
            </w:r>
          </w:p>
        </w:tc>
        <w:tc>
          <w:tcPr>
            <w:tcW w:w="2639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（一）予以公开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39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（二）部分公开（区分处理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106" w:right="110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的，只计这一情形，不计其他情形）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560" w:lineRule="exact"/>
              <w:ind w:left="106" w:right="8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（三） 不予公开</w:t>
            </w: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1.属于国家秘密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2.其他法律行政法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规禁止公开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3.危及“三安全一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稳定”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4.保护第三方合法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权益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5.属于三类内部事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务信息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6.属于四类过程性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7.属于行政执法案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卷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6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8.属于行政查询事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项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06" w:right="8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（四） 无法提供</w:t>
            </w: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1.本机关不掌握相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关政府信息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2.没有现成信息需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要另行制作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3.补正后申请内容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仍不明确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4"/>
              </w:rPr>
              <w:t xml:space="preserve"> 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（五）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不予处</w:t>
            </w:r>
          </w:p>
        </w:tc>
        <w:tc>
          <w:tcPr>
            <w:tcW w:w="1823" w:type="dxa"/>
            <w:tcBorders>
              <w:bottom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1.信访举报投诉类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申请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310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5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tcBorders>
              <w:bottom w:val="nil"/>
            </w:tcBorders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</w:tbl>
    <w:tbl>
      <w:tblPr>
        <w:tblStyle w:val="TableNormal"/>
        <w:tblpPr w:leftFromText="180" w:rightFromText="180" w:vertAnchor="text" w:horzAnchor="page" w:tblpX="2235" w:tblpY="1087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823"/>
        <w:gridCol w:w="717"/>
        <w:gridCol w:w="666"/>
        <w:gridCol w:w="666"/>
        <w:gridCol w:w="717"/>
        <w:gridCol w:w="855"/>
        <w:gridCol w:w="630"/>
        <w:gridCol w:w="61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616" w:type="dxa"/>
            <w:vMerge w:val="restart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理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2.重复申请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3.要求提供公开出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版物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309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  <w:vAlign w:val="center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4.无正当理由大量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反复申请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14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5.要求行政机关确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107" w:right="95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认或重新出具已获取信息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 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2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（六）其他处理</w:t>
            </w: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1.申请人无正当理由逾期不补正、行政机关不再处理其政府信息公开申请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309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309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2.申请人逾期未按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收费通知要求缴纳费用、行政机关不再处理其政府信息公开申请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   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  <w:lang w:val="en-US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val="en-US"/>
              </w:rPr>
              <w:t xml:space="preserve">3.其他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309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w w:val="99"/>
                <w:sz w:val="20"/>
              </w:rPr>
            </w:pP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6" w:type="dxa"/>
            <w:vMerge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39" w:type="dxa"/>
            <w:gridSpan w:val="2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560" w:lineRule="exact"/>
              <w:ind w:left="107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（七）总计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560" w:lineRule="exact"/>
              <w:ind w:right="23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55" w:type="dxa"/>
            <w:gridSpan w:val="3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560" w:lineRule="exact"/>
              <w:ind w:left="106"/>
              <w:jc w:val="both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四、结转下年度继续办理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  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66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7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ind w:right="264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 0</w:t>
            </w:r>
          </w:p>
        </w:tc>
        <w:tc>
          <w:tcPr>
            <w:tcW w:w="855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30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560" w:lineRule="exact"/>
              <w:jc w:val="center"/>
              <w:textAlignment w:val="auto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17" w:type="dxa"/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0"/>
              <w:jc w:val="center"/>
              <w:textAlignment w:val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0</w:t>
            </w:r>
          </w:p>
        </w:tc>
      </w:tr>
    </w:tbl>
    <w:p>
      <w:pPr>
        <w:ind w:firstLine="640" w:firstLineChars="200"/>
        <w:jc w:val="both"/>
        <w:rPr>
          <w:rFonts w:ascii="黑体" w:eastAsia="黑体" w:hAnsi="黑体" w:cs="黑体" w:hint="eastAsia"/>
          <w:bCs/>
          <w:sz w:val="32"/>
          <w:lang w:eastAsia="zh-CN"/>
        </w:rPr>
      </w:pPr>
    </w:p>
    <w:p>
      <w:pPr>
        <w:ind w:firstLine="640" w:firstLineChars="200"/>
        <w:jc w:val="both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  <w:lang w:eastAsia="zh-CN"/>
        </w:rPr>
        <w:t xml:space="preserve">四、政</w:t>
      </w:r>
      <w:r>
        <w:rPr>
          <w:rFonts w:ascii="黑体" w:eastAsia="黑体" w:hAnsi="黑体" w:cs="黑体" w:hint="eastAsia"/>
          <w:bCs/>
          <w:sz w:val="32"/>
        </w:rPr>
        <w:t xml:space="preserve">府信息公开行政复议、行政诉讼情况</w:t>
      </w:r>
    </w:p>
    <w:tbl>
      <w:tblPr>
        <w:tblStyle w:val="TableNormal"/>
        <w:tblpPr w:leftFromText="180" w:rightFromText="180" w:vertAnchor="text" w:horzAnchor="page" w:tblpX="2175" w:tblpY="228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518"/>
        <w:gridCol w:w="518"/>
        <w:gridCol w:w="518"/>
        <w:gridCol w:w="567"/>
        <w:gridCol w:w="526"/>
        <w:gridCol w:w="526"/>
        <w:gridCol w:w="526"/>
        <w:gridCol w:w="526"/>
        <w:gridCol w:w="533"/>
        <w:gridCol w:w="526"/>
        <w:gridCol w:w="526"/>
        <w:gridCol w:w="526"/>
        <w:gridCol w:w="527"/>
        <w:gridCol w:w="697"/>
      </w:tblGrid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840" w:type="dxa"/>
            <w:gridSpan w:val="5"/>
          </w:tcPr>
          <w:p>
            <w:pPr>
              <w:pStyle w:val="TableParagraph"/>
              <w:spacing w:before="29"/>
              <w:ind w:left="969" w:right="95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行政复议</w:t>
            </w:r>
          </w:p>
        </w:tc>
        <w:tc>
          <w:tcPr>
            <w:tcW w:w="5439" w:type="dxa"/>
            <w:gridSpan w:val="10"/>
          </w:tcPr>
          <w:p>
            <w:pPr>
              <w:pStyle w:val="TableParagraph"/>
              <w:spacing w:before="29"/>
              <w:ind w:left="2157" w:right="214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行政诉讼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719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152" w:right="132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结果维持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3" w:right="133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结果纠正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4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其他结果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2"/>
              <w:jc w:val="both"/>
              <w:rPr>
                <w:rFonts w:ascii="仿宋_GB2312" w:eastAsia="仿宋_GB2312" w:hAnsi="仿宋_GB2312" w:cs="仿宋_GB2312"/>
                <w:b/>
                <w:sz w:val="15"/>
              </w:rPr>
            </w:pPr>
          </w:p>
          <w:p>
            <w:pPr>
              <w:pStyle w:val="TableParagraph"/>
              <w:spacing w:line="292" w:lineRule="auto"/>
              <w:ind w:left="152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尚未审结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jc w:val="both"/>
              <w:rPr>
                <w:rFonts w:ascii="仿宋_GB2312" w:eastAsia="仿宋_GB2312" w:hAnsi="仿宋_GB2312" w:cs="仿宋_GB2312"/>
                <w:b/>
                <w:sz w:val="20"/>
              </w:rPr>
            </w:pPr>
          </w:p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19"/>
              </w:rPr>
            </w:pPr>
          </w:p>
          <w:p>
            <w:pPr>
              <w:pStyle w:val="TableParagraph"/>
              <w:spacing w:line="292" w:lineRule="auto"/>
              <w:ind w:left="174" w:righ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  <w:tc>
          <w:tcPr>
            <w:tcW w:w="2637" w:type="dxa"/>
            <w:gridSpan w:val="5"/>
          </w:tcPr>
          <w:p>
            <w:pPr>
              <w:pStyle w:val="TableParagraph"/>
              <w:spacing w:before="28"/>
              <w:ind w:left="490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未经复议直接起诉</w:t>
            </w:r>
          </w:p>
        </w:tc>
        <w:tc>
          <w:tcPr>
            <w:tcW w:w="2802" w:type="dxa"/>
            <w:gridSpan w:val="5"/>
          </w:tcPr>
          <w:p>
            <w:pPr>
              <w:pStyle w:val="TableParagraph"/>
              <w:spacing w:before="28"/>
              <w:ind w:left="78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复议后起诉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719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jc w:val="both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结果维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持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结果纠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正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其他结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果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7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0"/>
              </w:rPr>
              <w:t xml:space="preserve">尚未审</w:t>
            </w:r>
          </w:p>
          <w:p>
            <w:pPr>
              <w:pStyle w:val="TableParagraph"/>
              <w:spacing w:line="254" w:lineRule="exact"/>
              <w:ind w:left="157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结</w:t>
            </w:r>
          </w:p>
        </w:tc>
        <w:tc>
          <w:tcPr>
            <w:tcW w:w="533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159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结果维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持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结果纠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正</w:t>
            </w:r>
          </w:p>
        </w:tc>
        <w:tc>
          <w:tcPr>
            <w:tcW w:w="526" w:type="dxa"/>
          </w:tcPr>
          <w:p>
            <w:pPr>
              <w:pStyle w:val="TableParagraph"/>
              <w:spacing w:before="27" w:line="292" w:lineRule="auto"/>
              <w:ind w:left="156" w:right="138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其他结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果</w:t>
            </w:r>
          </w:p>
        </w:tc>
        <w:tc>
          <w:tcPr>
            <w:tcW w:w="527" w:type="dxa"/>
          </w:tcPr>
          <w:p>
            <w:pPr>
              <w:pStyle w:val="TableParagraph"/>
              <w:spacing w:before="27" w:line="292" w:lineRule="auto"/>
              <w:ind w:left="156" w:right="139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尚未审</w:t>
            </w:r>
          </w:p>
          <w:p>
            <w:pPr>
              <w:pStyle w:val="TableParagraph"/>
              <w:spacing w:line="254" w:lineRule="exact"/>
              <w:ind w:left="156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结</w:t>
            </w:r>
          </w:p>
        </w:tc>
        <w:tc>
          <w:tcPr>
            <w:tcW w:w="697" w:type="dxa"/>
          </w:tcPr>
          <w:p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155" w:right="134"/>
              <w:jc w:val="both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 xml:space="preserve">总计</w:t>
            </w:r>
          </w:p>
        </w:tc>
      </w:tr>
      <w:tr>
        <w:tblPrEx>
          <w:tblW w:w="0" w:type="auto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719" w:type="dxa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ind w:right="24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18" w:type="dxa"/>
          </w:tcPr>
          <w:p>
            <w:pPr>
              <w:pStyle w:val="TableParagraph"/>
              <w:spacing w:before="34"/>
              <w:ind w:right="22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4"/>
              <w:ind w:right="22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33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6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527" w:type="dxa"/>
          </w:tcPr>
          <w:p>
            <w:pPr>
              <w:pStyle w:val="TableParagraph"/>
              <w:spacing w:before="29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 w:val="20"/>
              </w:rPr>
              <w:t xml:space="preserve">0</w:t>
            </w:r>
          </w:p>
        </w:tc>
        <w:tc>
          <w:tcPr>
            <w:tcW w:w="697" w:type="dxa"/>
          </w:tcPr>
          <w:p>
            <w:pPr>
              <w:pStyle w:val="TableParagraph"/>
              <w:spacing w:before="3" w:line="288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0</w:t>
            </w:r>
          </w:p>
        </w:tc>
      </w:tr>
    </w:tbl>
    <w:p>
      <w:pPr>
        <w:pStyle w:val="Heading1"/>
        <w:keepNext w:val="0"/>
        <w:keepLines w:val="0"/>
        <w:widowControl/>
        <w:suppressLineNumbers w:val="0"/>
        <w:spacing w:line="570" w:lineRule="atLeast"/>
        <w:ind w:left="0" w:firstLine="645"/>
        <w:jc w:val="both"/>
      </w:pPr>
      <w:r>
        <w:rPr>
          <w:rFonts w:ascii="黑体" w:eastAsia="黑体" w:hAnsi="宋体" w:cs="黑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五、存在的主要问题及改进情况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存在问题：一是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工作机制有待细化完善，工作力度有待加强，队伍水平需要进一步提升；</w:t>
      </w: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二是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对政府信息公开的认识不足，对信息公开的时效性有待进一步加强；</w:t>
      </w:r>
      <w:r>
        <w:rPr>
          <w:rStyle w:val="Strong"/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三是</w:t>
      </w: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网站部分栏目信息公开的内容还不够丰富，宣传力度也有所缺乏；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ascii="仿宋_GB2312" w:eastAsia="仿宋_GB2312" w:hAnsi="微软雅黑" w:cs="仿宋_GB2312" w:hint="default"/>
          <w:i w:val="0"/>
          <w:iCs w:val="0"/>
          <w:caps w:val="0"/>
          <w:color w:val="000000"/>
          <w:spacing w:val="0"/>
          <w:sz w:val="31"/>
          <w:szCs w:val="31"/>
        </w:rPr>
        <w:t xml:space="preserve">下一步，我乡将进一步贯彻落实好《条例》要求，将进一步加大政府信息公开制度建设、培训考核等方面力度，提高政府信息公开工作人员业务水平，积极优化公开渠道，拓宽公开范围，更好的满足人民群众对财政府信息公开的需求。进一步加强政府信息公开工作的宣传，使群众更多了解政府信息公开工作的相关内容，引导群众正确行使知情权，充分发挥政府信息公开促进经济社会发展的作用，并及时完成县政府关于政府信息公开的相关任务。</w:t>
      </w:r>
    </w:p>
    <w:p>
      <w:pPr>
        <w:pStyle w:val="Normal(Web)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ascii="黑体" w:eastAsia="黑体" w:hAnsi="宋体" w:cs="黑体" w:hint="eastAsia"/>
          <w:i w:val="0"/>
          <w:iCs w:val="0"/>
          <w:caps w:val="0"/>
          <w:color w:val="000000"/>
          <w:spacing w:val="0"/>
          <w:sz w:val="31"/>
          <w:szCs w:val="31"/>
        </w:rPr>
        <w:t xml:space="preserve">六、其他需要报告的事项</w:t>
      </w:r>
    </w:p>
    <w:p>
      <w:pPr>
        <w:pStyle w:val="BodyText"/>
        <w:spacing w:before="214" w:line="560" w:lineRule="exact"/>
        <w:ind w:firstLine="640" w:firstLineChars="20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无其它需要报告的事项。</w:t>
      </w:r>
    </w:p>
    <w:p>
      <w:pPr/>
      <w:bookmarkStart w:id="0" w:name="_GoBack"/>
      <w:bookmarkEnd w:id="0"/>
      <w:r>
        <w:rPr>
          <w:rFonts w:ascii="仿宋_GB2312" w:eastAsia="仿宋_GB2312" w:hAnsi="仿宋_GB2312" w:cs="仿宋_GB2312" w:hint="eastAsia"/>
          <w:lang w:val="en-US"/>
        </w:rPr>
        <w:t xml:space="preserve">        </w:t>
      </w:r>
    </w:p>
    <w:sectPr>
      <w:pgSz w:w="11910" w:h="16840" w:orient="portrait"/>
      <w:pgMar w:top="1580" w:right="1580" w:bottom="280" w:left="1680" w:header="720" w:footer="720" w:gutter="0"/>
      <w:cols w:num="1" w:space="720">
        <w:col w:w="865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spacing w:before="26"/>
      <w:ind w:left="746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ind w:firstLine="420" w:firstLineChars="100"/>
    </w:pPr>
    <w:rPr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</w:rPr>
  </w:style>
  <w:style w:type="character" w:customStyle="1" w:styleId="页眉Char">
    <w:name w:val="页眉 Char"/>
    <w:basedOn w:val="DefaultParagraphFont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页脚Char">
    <w:name w:val="页脚 Char"/>
    <w:basedOn w:val="DefaultParagraphFont"/>
    <w:qFormat/>
    <w:rPr>
      <w:rFonts w:ascii="仿宋" w:eastAsia="仿宋" w:hAnsi="仿宋" w:cs="仿宋"/>
      <w:sz w:val="18"/>
      <w:szCs w:val="18"/>
      <w:lang w:val="zh-CN" w:bidi="zh-C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13DCF0FA0BB2430F8136EA1F7858AD5A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13DCF0FA0BB2430F8136EA1F7858AD5A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13DCF0FA0BB2430F8136EA1F7858AD5A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6</Pages>
  <Words>402</Words>
  <Characters>2294</Characters>
  <Application>WPS Office_11.1.0.11294_F1E327BC-269C-435d-A152-05C5408002CA</Application>
  <DocSecurity>0</DocSecurity>
  <Lines>19</Lines>
  <Paragraphs>5</Paragraphs>
  <CharactersWithSpaces>2691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鑫鑫</cp:lastModifiedBy>
  <cp:revision>2</cp:revision>
  <cp:lastPrinted>2022-01-20T08:30:39Z</cp:lastPrinted>
  <dcterms:created xsi:type="dcterms:W3CDTF">2022-01-17T02:26:00Z</dcterms:created>
  <dcterms:modified xsi:type="dcterms:W3CDTF">2022-01-20T08:30:41Z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13DCF0FA0BB2430F8136EA1F7858AD5A</vt:lpstr>
  </property>
</Properties>
</file>