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0" w:after="0" w:line="600" w:lineRule="exact"/>
        <w:rPr>
          <w:rFonts w:eastAsia="宋体"/>
          <w:sz w:val="36"/>
          <w:szCs w:val="36"/>
        </w:rPr>
      </w:pPr>
      <w:bookmarkStart w:id="0" w:name="_GoBack"/>
      <w:bookmarkEnd w:id="0"/>
      <w:r>
        <w:rPr>
          <w:rFonts w:hint="eastAsia" w:eastAsia="宋体"/>
          <w:sz w:val="36"/>
          <w:szCs w:val="36"/>
        </w:rPr>
        <w:t>拟审批公示：刚察县生态环境局关于G338海兴至天峻公路热水至江仓段公路改建工程</w:t>
      </w:r>
      <w:r>
        <w:rPr>
          <w:rFonts w:hint="eastAsia" w:eastAsia="宋体"/>
          <w:sz w:val="36"/>
          <w:szCs w:val="36"/>
          <w:lang w:val="zh-CN"/>
        </w:rPr>
        <w:t>环境影响报告表</w:t>
      </w:r>
      <w:r>
        <w:rPr>
          <w:rFonts w:hint="eastAsia" w:eastAsia="宋体"/>
          <w:sz w:val="36"/>
          <w:szCs w:val="36"/>
        </w:rPr>
        <w:t>拟审查公示</w:t>
      </w:r>
    </w:p>
    <w:p>
      <w:pPr>
        <w:autoSpaceDN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根据建设项目环境影响评价审批程序的有关规定，我局对</w:t>
      </w:r>
      <w:r>
        <w:rPr>
          <w:rFonts w:hint="eastAsia" w:ascii="仿宋" w:hAnsi="仿宋" w:eastAsia="仿宋" w:cs="Times New Roman"/>
          <w:color w:val="000000"/>
          <w:sz w:val="32"/>
          <w:szCs w:val="32"/>
          <w:lang w:val="en-US" w:eastAsia="zh-CN"/>
        </w:rPr>
        <w:t>关于G338海兴至天峻公路热水至江仓段公路改建工程</w:t>
      </w:r>
      <w:r>
        <w:rPr>
          <w:rFonts w:hint="eastAsia" w:ascii="仿宋" w:hAnsi="仿宋" w:eastAsia="仿宋" w:cs="Times New Roman"/>
          <w:color w:val="000000"/>
          <w:sz w:val="32"/>
          <w:szCs w:val="32"/>
          <w:lang w:val="zh-CN"/>
        </w:rPr>
        <w:t>影响报告</w:t>
      </w:r>
      <w:r>
        <w:rPr>
          <w:rFonts w:hint="eastAsia" w:ascii="仿宋" w:hAnsi="仿宋" w:eastAsia="仿宋" w:cs="Times New Roman"/>
          <w:color w:val="000000"/>
          <w:sz w:val="32"/>
          <w:szCs w:val="32"/>
        </w:rPr>
        <w:t>文件进行拟审查。现将拟审查的环境影响评价文件基本情况予以公示，公示期为202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11</w:t>
      </w:r>
      <w:r>
        <w:rPr>
          <w:rFonts w:hint="eastAsia" w:ascii="仿宋" w:hAnsi="仿宋" w:eastAsia="仿宋" w:cs="Times New Roman"/>
          <w:color w:val="000000"/>
          <w:sz w:val="32"/>
          <w:szCs w:val="32"/>
        </w:rPr>
        <w:t>日－202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15</w:t>
      </w:r>
      <w:r>
        <w:rPr>
          <w:rFonts w:hint="eastAsia" w:ascii="仿宋" w:hAnsi="仿宋" w:eastAsia="仿宋" w:cs="Times New Roman"/>
          <w:color w:val="000000"/>
          <w:sz w:val="32"/>
          <w:szCs w:val="32"/>
        </w:rPr>
        <w:t>日。</w:t>
      </w:r>
    </w:p>
    <w:p>
      <w:pPr>
        <w:autoSpaceDN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听证权利告知：依据《中华人民共和国行政许可法》，自公示起五日内申请人、利害关系人可提出听证申请。</w:t>
      </w:r>
    </w:p>
    <w:p>
      <w:pPr>
        <w:autoSpaceDN w:val="0"/>
        <w:spacing w:line="56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联系电话：097</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8655299</w:t>
      </w:r>
    </w:p>
    <w:p>
      <w:pPr>
        <w:spacing w:line="56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通讯地址：</w:t>
      </w:r>
      <w:r>
        <w:rPr>
          <w:rFonts w:hint="eastAsia" w:ascii="仿宋" w:hAnsi="仿宋" w:eastAsia="仿宋"/>
          <w:color w:val="000000"/>
          <w:sz w:val="32"/>
          <w:szCs w:val="32"/>
        </w:rPr>
        <w:t>海北州刚察县</w:t>
      </w:r>
      <w:r>
        <w:rPr>
          <w:rFonts w:hint="eastAsia" w:ascii="仿宋" w:hAnsi="仿宋" w:eastAsia="仿宋"/>
          <w:color w:val="000000"/>
          <w:sz w:val="32"/>
          <w:szCs w:val="32"/>
          <w:lang w:eastAsia="zh-CN"/>
        </w:rPr>
        <w:t>生态环境局</w:t>
      </w:r>
    </w:p>
    <w:tbl>
      <w:tblPr>
        <w:tblStyle w:val="19"/>
        <w:tblW w:w="11180" w:type="dxa"/>
        <w:tblInd w:w="-1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439"/>
        <w:gridCol w:w="427"/>
        <w:gridCol w:w="957"/>
        <w:gridCol w:w="3473"/>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序号</w:t>
            </w:r>
          </w:p>
        </w:tc>
        <w:tc>
          <w:tcPr>
            <w:tcW w:w="1107"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项目名称</w:t>
            </w:r>
          </w:p>
        </w:tc>
        <w:tc>
          <w:tcPr>
            <w:tcW w:w="439"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建设地点</w:t>
            </w:r>
          </w:p>
        </w:tc>
        <w:tc>
          <w:tcPr>
            <w:tcW w:w="427"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建设单位</w:t>
            </w:r>
          </w:p>
        </w:tc>
        <w:tc>
          <w:tcPr>
            <w:tcW w:w="957"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环境影响评价机构</w:t>
            </w:r>
          </w:p>
        </w:tc>
        <w:tc>
          <w:tcPr>
            <w:tcW w:w="3473"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项目概况</w:t>
            </w:r>
          </w:p>
        </w:tc>
        <w:tc>
          <w:tcPr>
            <w:tcW w:w="4073" w:type="dxa"/>
            <w:vAlign w:val="center"/>
          </w:tcPr>
          <w:p>
            <w:pPr>
              <w:autoSpaceDN w:val="0"/>
              <w:spacing w:line="560" w:lineRule="exact"/>
              <w:jc w:val="center"/>
              <w:rPr>
                <w:rFonts w:ascii="仿宋" w:hAnsi="仿宋" w:cs="仿宋"/>
                <w:color w:val="000000"/>
                <w:szCs w:val="21"/>
              </w:rPr>
            </w:pPr>
            <w:r>
              <w:rPr>
                <w:rFonts w:hint="eastAsia" w:ascii="仿宋" w:hAnsi="仿宋" w:cs="仿宋"/>
                <w:color w:val="000000"/>
                <w:szCs w:val="21"/>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4" w:type="dxa"/>
            <w:vAlign w:val="center"/>
          </w:tcPr>
          <w:p>
            <w:pPr>
              <w:pStyle w:val="23"/>
              <w:rPr>
                <w:rFonts w:cs="Times New Roman"/>
                <w:szCs w:val="24"/>
              </w:rPr>
            </w:pPr>
            <w:r>
              <w:rPr>
                <w:rFonts w:hint="eastAsia" w:cs="Times New Roman"/>
                <w:szCs w:val="24"/>
              </w:rPr>
              <w:t>1</w:t>
            </w:r>
          </w:p>
        </w:tc>
        <w:tc>
          <w:tcPr>
            <w:tcW w:w="1107" w:type="dxa"/>
            <w:vAlign w:val="center"/>
          </w:tcPr>
          <w:p>
            <w:pPr>
              <w:pStyle w:val="23"/>
              <w:jc w:val="left"/>
              <w:rPr>
                <w:rFonts w:hint="default"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b/>
                <w:bCs/>
                <w:kern w:val="2"/>
                <w:sz w:val="21"/>
                <w:szCs w:val="24"/>
                <w:lang w:val="en-US" w:eastAsia="zh-CN" w:bidi="ar-SA"/>
              </w:rPr>
              <w:t>G338海兴至天峻公路热水至江仓段公路改建工程</w:t>
            </w:r>
          </w:p>
        </w:tc>
        <w:tc>
          <w:tcPr>
            <w:tcW w:w="439" w:type="dxa"/>
            <w:vAlign w:val="center"/>
          </w:tcPr>
          <w:p>
            <w:pPr>
              <w:pStyle w:val="23"/>
              <w:jc w:val="left"/>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青海海北刚察县</w:t>
            </w:r>
          </w:p>
        </w:tc>
        <w:tc>
          <w:tcPr>
            <w:tcW w:w="427" w:type="dxa"/>
            <w:vAlign w:val="center"/>
          </w:tcPr>
          <w:p>
            <w:pPr>
              <w:pStyle w:val="23"/>
              <w:jc w:val="left"/>
              <w:rPr>
                <w:rFonts w:hint="default"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青海省公路局</w:t>
            </w:r>
          </w:p>
        </w:tc>
        <w:tc>
          <w:tcPr>
            <w:tcW w:w="957" w:type="dxa"/>
            <w:vAlign w:val="center"/>
          </w:tcPr>
          <w:p>
            <w:pPr>
              <w:pStyle w:val="23"/>
              <w:jc w:val="left"/>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刚察县生态环境局</w:t>
            </w:r>
          </w:p>
        </w:tc>
        <w:tc>
          <w:tcPr>
            <w:tcW w:w="3473" w:type="dxa"/>
            <w:vAlign w:val="center"/>
          </w:tcPr>
          <w:p>
            <w:pPr>
              <w:pageBreakBefore w:val="0"/>
              <w:widowControl w:val="0"/>
              <w:kinsoku/>
              <w:overflowPunct/>
              <w:topLinePunct w:val="0"/>
              <w:autoSpaceDE/>
              <w:autoSpaceDN/>
              <w:bidi w:val="0"/>
              <w:adjustRightInd/>
              <w:snapToGrid/>
              <w:spacing w:line="520" w:lineRule="exact"/>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G338线海兴至天峻公路热水至江仓段公路工程位于海北州刚察县境内，项目起点K0+000位于刚察县哈尔盖镇海塔尔山岔口，G338线及G213线共线段结束处。路线终点K95+000位于刚察县哈尔盖镇江仓火车站叉路口以西400米处，终点接G338公路江仓至木里段，全长95km。主要建设内容为：项目病害整治路段全长2.746km，项目改扩建路段全长92.254km。K0+000-K2+746为病害整治路段；K2+746-K95+000为改扩建路段；K94+780-K95+000为完全利用段。整治边坡坍塌、水毁冲沟、车辙、块裂、龟裂、纵、横向裂缝等道路病害，并拆除重建2座大桥，拆除重建9座中桥，新建1座中桥，涵洞改中桥3座，拆除重建4座小桥，新建3座小桥，涵洞改小桥9座，新建28道涵洞，拆除重建122道涵洞，完全利用6道涵洞，接长利用10道涵洞，同步建设必要的交通工程和沿线设施。</w:t>
            </w:r>
          </w:p>
          <w:p>
            <w:pPr>
              <w:pStyle w:val="23"/>
              <w:jc w:val="left"/>
              <w:rPr>
                <w:rFonts w:hint="eastAsia" w:cs="Times New Roman" w:asciiTheme="minorHAnsi" w:hAnsiTheme="minorHAnsi" w:eastAsiaTheme="minorEastAsia"/>
                <w:kern w:val="2"/>
                <w:sz w:val="21"/>
                <w:szCs w:val="24"/>
                <w:lang w:val="en-US" w:eastAsia="zh-CN" w:bidi="ar-SA"/>
              </w:rPr>
            </w:pPr>
          </w:p>
        </w:tc>
        <w:tc>
          <w:tcPr>
            <w:tcW w:w="4073" w:type="dxa"/>
          </w:tcPr>
          <w:p>
            <w:pPr>
              <w:pageBreakBefore w:val="0"/>
              <w:widowControl w:val="0"/>
              <w:kinsoku/>
              <w:overflowPunct/>
              <w:topLinePunct w:val="0"/>
              <w:autoSpaceDE/>
              <w:autoSpaceDN/>
              <w:bidi w:val="0"/>
              <w:adjustRightInd/>
              <w:snapToGrid/>
              <w:spacing w:line="520" w:lineRule="exact"/>
              <w:ind w:firstLine="420" w:firstLineChars="200"/>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 xml:space="preserve">生态保护措施：1、严格落实大气环境保护措施，针对施工期扬尘必须落实 “六个百分之百”控尘降尘措施，施工的混凝土、砂石等物料集中堆放并进行覆盖。施工过程中沥青拌合扬尘及混凝土粉尘采取必要的防尘抑尘措施。2、严格落实水环境保护措施：施工场地设置防渗沉淀池对施工废水进行处理，处理后的上清液用于施工场地洒水抑尘，自然下渗、蒸发；在项目施工营地设置防渗旱厕和化粪池处理生活污水，定期清理或联系当地环卫部门定期清运处理，施工结束后覆土掩埋，禁止将生活污水倾倒至水体。 施工单位禁止到沿线河流内清洗施工机械；禁止施工机械漏油污染水体，严禁化学品洒落水体。桥梁施工中钻孔灌注桩的废弃钻渣必须妥善处理，严禁直接排入沿线水体。3、严格落实固体废物污染防治措施：施工产生的废弃建材、废弃包装材料，可作为资源加以回收利用，严禁弃于周边草地、河道内。施工营地设置垃圾临时堆放点，并安排专人进行维护管理，避免垃圾随意堆放的现象发生，同时定期将垃圾清运至当地生活垃圾处理场处置。桥涵维修产生弃渣以及旧碎石路面拆除弃渣全部用于处理后用做路床换填骨料、基层骨料、路肩填料以及边坡亏坡回填等，严禁随意丢弃和填埋。 </w:t>
            </w:r>
          </w:p>
          <w:p>
            <w:pPr>
              <w:pageBreakBefore w:val="0"/>
              <w:widowControl w:val="0"/>
              <w:kinsoku/>
              <w:overflowPunct/>
              <w:topLinePunct w:val="0"/>
              <w:autoSpaceDE/>
              <w:autoSpaceDN/>
              <w:bidi w:val="0"/>
              <w:adjustRightInd/>
              <w:snapToGrid/>
              <w:spacing w:line="520" w:lineRule="exact"/>
              <w:rPr>
                <w:rFonts w:hint="eastAsia" w:cs="Times New Roman" w:asciiTheme="minorHAnsi" w:hAnsiTheme="minorHAnsi" w:eastAsiaTheme="minorEastAsia"/>
                <w:kern w:val="2"/>
                <w:sz w:val="21"/>
                <w:szCs w:val="24"/>
                <w:lang w:val="en-US" w:eastAsia="zh-CN" w:bidi="ar-SA"/>
              </w:rPr>
            </w:pPr>
            <w:r>
              <w:rPr>
                <w:rFonts w:hint="eastAsia" w:cs="Times New Roman" w:asciiTheme="minorHAnsi" w:hAnsiTheme="minorHAnsi" w:eastAsiaTheme="minorEastAsia"/>
                <w:kern w:val="2"/>
                <w:sz w:val="21"/>
                <w:szCs w:val="24"/>
                <w:lang w:val="en-US" w:eastAsia="zh-CN" w:bidi="ar-SA"/>
              </w:rPr>
              <w:t>4、严格落实噪声污染控制措施：施工单位应贯彻各项施工管理制度。施工单位要确保施工噪声满足《建筑工程施工现场管理规定》（GB12523—2011）要求，认真贯彻《中华人民共和国噪声污染防治法》等有关国家和地方的规定。5、严格落实生态环境保护措施：坚持“尽量利用原有料坑取（弃）土，避免新增取（弃）土场；尽量设置在山包、荒滩等处；距离路线尽可能不小于500m，不在视线范围之内设置”的原则。取（弃）土场、拌合场以及施工营地严格按照自然资源部门划定范围进行设置和采取，不得私自随意扩建和挖取，减少在采料、加工、运输过程中对地表植被、土壤的占压和破坏。施工结束后取（弃）土场、拌合场以及施工营地要进行植被恢复，尽量恢复原貌。</w:t>
            </w:r>
          </w:p>
          <w:p>
            <w:pPr>
              <w:pageBreakBefore w:val="0"/>
              <w:widowControl w:val="0"/>
              <w:kinsoku/>
              <w:overflowPunct/>
              <w:topLinePunct w:val="0"/>
              <w:autoSpaceDE/>
              <w:autoSpaceDN/>
              <w:bidi w:val="0"/>
              <w:adjustRightInd/>
              <w:snapToGrid/>
              <w:spacing w:line="520" w:lineRule="exact"/>
              <w:ind w:firstLine="420" w:firstLineChars="200"/>
              <w:rPr>
                <w:rFonts w:hint="eastAsia" w:cs="Times New Roman" w:asciiTheme="minorHAnsi" w:hAnsiTheme="minorHAnsi" w:eastAsiaTheme="minorEastAsia"/>
                <w:kern w:val="2"/>
                <w:sz w:val="21"/>
                <w:szCs w:val="24"/>
                <w:lang w:val="en-US" w:eastAsia="zh-CN" w:bidi="ar-SA"/>
              </w:rPr>
            </w:pPr>
          </w:p>
          <w:p>
            <w:pPr>
              <w:pageBreakBefore w:val="0"/>
              <w:widowControl w:val="0"/>
              <w:kinsoku/>
              <w:overflowPunct/>
              <w:topLinePunct w:val="0"/>
              <w:autoSpaceDE/>
              <w:autoSpaceDN/>
              <w:bidi w:val="0"/>
              <w:adjustRightInd/>
              <w:snapToGrid/>
              <w:spacing w:line="520" w:lineRule="exact"/>
              <w:ind w:firstLine="420" w:firstLineChars="200"/>
              <w:rPr>
                <w:rFonts w:hint="eastAsia" w:cs="Times New Roman" w:asciiTheme="minorHAnsi" w:hAnsiTheme="minorHAnsi" w:eastAsiaTheme="minorEastAsia"/>
                <w:kern w:val="2"/>
                <w:sz w:val="21"/>
                <w:szCs w:val="24"/>
                <w:lang w:val="en-US" w:eastAsia="zh-CN" w:bidi="ar-SA"/>
              </w:rPr>
            </w:pPr>
          </w:p>
          <w:p>
            <w:pPr>
              <w:pageBreakBefore w:val="0"/>
              <w:widowControl w:val="0"/>
              <w:kinsoku/>
              <w:overflowPunct/>
              <w:topLinePunct w:val="0"/>
              <w:autoSpaceDE/>
              <w:autoSpaceDN/>
              <w:bidi w:val="0"/>
              <w:adjustRightInd/>
              <w:snapToGrid/>
              <w:spacing w:line="520" w:lineRule="exact"/>
              <w:ind w:firstLine="420" w:firstLineChars="200"/>
              <w:rPr>
                <w:rFonts w:hint="eastAsia" w:cs="Times New Roman" w:asciiTheme="minorHAnsi" w:hAnsiTheme="minorHAnsi" w:eastAsiaTheme="minorEastAsia"/>
                <w:kern w:val="2"/>
                <w:sz w:val="21"/>
                <w:szCs w:val="24"/>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9E3E9"/>
    <w:multiLevelType w:val="singleLevel"/>
    <w:tmpl w:val="B9C9E3E9"/>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WI2OTNiOWRiZjY2MDdmMjhjYWRmNmJkZTAwZjAifQ=="/>
  </w:docVars>
  <w:rsids>
    <w:rsidRoot w:val="3CC21171"/>
    <w:rsid w:val="00072141"/>
    <w:rsid w:val="00100A3F"/>
    <w:rsid w:val="004E7999"/>
    <w:rsid w:val="00537E48"/>
    <w:rsid w:val="00732862"/>
    <w:rsid w:val="007D14EA"/>
    <w:rsid w:val="009B0E19"/>
    <w:rsid w:val="00B345E0"/>
    <w:rsid w:val="00BC51A4"/>
    <w:rsid w:val="00C50B26"/>
    <w:rsid w:val="00E428FC"/>
    <w:rsid w:val="013B1828"/>
    <w:rsid w:val="02816CCE"/>
    <w:rsid w:val="049F4F6C"/>
    <w:rsid w:val="04D07A99"/>
    <w:rsid w:val="083A7FEE"/>
    <w:rsid w:val="08DF01DB"/>
    <w:rsid w:val="110D58F3"/>
    <w:rsid w:val="13262119"/>
    <w:rsid w:val="18787C65"/>
    <w:rsid w:val="18BB3C2D"/>
    <w:rsid w:val="1B476027"/>
    <w:rsid w:val="2ACB2DA3"/>
    <w:rsid w:val="2CF814A5"/>
    <w:rsid w:val="32B60B01"/>
    <w:rsid w:val="3CC21171"/>
    <w:rsid w:val="40AB3B03"/>
    <w:rsid w:val="41F93C64"/>
    <w:rsid w:val="444D0FED"/>
    <w:rsid w:val="462C61B6"/>
    <w:rsid w:val="526D0E1B"/>
    <w:rsid w:val="5298414C"/>
    <w:rsid w:val="60C0497A"/>
    <w:rsid w:val="6B94207B"/>
    <w:rsid w:val="6CE72C47"/>
    <w:rsid w:val="6EBD3C0B"/>
    <w:rsid w:val="70EA1498"/>
    <w:rsid w:val="77A463AD"/>
    <w:rsid w:val="794A5D98"/>
    <w:rsid w:val="7C021974"/>
    <w:rsid w:val="7F82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9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rFonts w:ascii="Times New Roman" w:hAnsi="Times New Roman" w:eastAsia="宋体" w:cs="Times New Roman"/>
    </w:rPr>
  </w:style>
  <w:style w:type="paragraph" w:styleId="3">
    <w:name w:val="Body Text"/>
    <w:basedOn w:val="1"/>
    <w:next w:val="4"/>
    <w:autoRedefine/>
    <w:qFormat/>
    <w:uiPriority w:val="0"/>
    <w:pPr>
      <w:widowControl/>
      <w:snapToGrid w:val="0"/>
      <w:spacing w:before="60" w:after="160" w:line="259" w:lineRule="auto"/>
      <w:ind w:right="113"/>
    </w:pPr>
    <w:rPr>
      <w:kern w:val="0"/>
      <w:sz w:val="18"/>
      <w:szCs w:val="20"/>
    </w:rPr>
  </w:style>
  <w:style w:type="paragraph" w:styleId="4">
    <w:name w:val="List Bullet 5"/>
    <w:basedOn w:val="1"/>
    <w:autoRedefine/>
    <w:qFormat/>
    <w:uiPriority w:val="0"/>
    <w:pPr>
      <w:numPr>
        <w:ilvl w:val="0"/>
        <w:numId w:val="1"/>
      </w:numPr>
    </w:pPr>
  </w:style>
  <w:style w:type="paragraph" w:styleId="6">
    <w:name w:val="Normal Indent"/>
    <w:basedOn w:val="1"/>
    <w:next w:val="7"/>
    <w:autoRedefine/>
    <w:qFormat/>
    <w:uiPriority w:val="0"/>
    <w:pPr>
      <w:ind w:firstLine="420"/>
    </w:pPr>
    <w:rPr>
      <w:rFonts w:ascii="Times New Roman" w:hAnsi="Times New Roman" w:eastAsia="宋体" w:cs="Times New Roman"/>
      <w:szCs w:val="20"/>
    </w:rPr>
  </w:style>
  <w:style w:type="paragraph" w:styleId="7">
    <w:name w:val="Body Text First Indent 2"/>
    <w:basedOn w:val="8"/>
    <w:next w:val="1"/>
    <w:autoRedefine/>
    <w:qFormat/>
    <w:uiPriority w:val="0"/>
    <w:pPr>
      <w:ind w:firstLine="420"/>
    </w:pPr>
    <w:rPr>
      <w:rFonts w:ascii="Times New Roman" w:hAnsi="Times New Roman" w:eastAsia="宋体" w:cs="Times New Roman"/>
      <w:sz w:val="21"/>
      <w:szCs w:val="24"/>
    </w:rPr>
  </w:style>
  <w:style w:type="paragraph" w:styleId="8">
    <w:name w:val="Body Text Indent"/>
    <w:basedOn w:val="1"/>
    <w:next w:val="1"/>
    <w:autoRedefine/>
    <w:qFormat/>
    <w:uiPriority w:val="0"/>
    <w:pPr>
      <w:spacing w:after="120"/>
      <w:ind w:left="420" w:leftChars="200"/>
    </w:pPr>
    <w:rPr>
      <w:kern w:val="0"/>
      <w:sz w:val="24"/>
      <w:szCs w:val="20"/>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szCs w:val="20"/>
    </w:rPr>
  </w:style>
  <w:style w:type="paragraph" w:styleId="11">
    <w:name w:val="toc 8"/>
    <w:basedOn w:val="1"/>
    <w:next w:val="1"/>
    <w:autoRedefine/>
    <w:unhideWhenUsed/>
    <w:qFormat/>
    <w:uiPriority w:val="99"/>
    <w:pPr>
      <w:wordWrap w:val="0"/>
      <w:spacing w:before="100" w:beforeAutospacing="1" w:after="100" w:afterAutospacing="1"/>
      <w:ind w:left="2550"/>
    </w:pPr>
    <w:rPr>
      <w:rFonts w:ascii="Times New Roman" w:hAnsi="Times New Roman" w:eastAsia="宋体" w:cs="Times New Roman"/>
      <w:szCs w:val="21"/>
    </w:rPr>
  </w:style>
  <w:style w:type="paragraph" w:styleId="12">
    <w:name w:val="footer"/>
    <w:basedOn w:val="1"/>
    <w:link w:val="29"/>
    <w:autoRedefine/>
    <w:qFormat/>
    <w:uiPriority w:val="0"/>
    <w:pPr>
      <w:tabs>
        <w:tab w:val="center" w:pos="4153"/>
        <w:tab w:val="right" w:pos="8306"/>
      </w:tabs>
      <w:snapToGrid w:val="0"/>
      <w:jc w:val="left"/>
    </w:pPr>
    <w:rPr>
      <w:sz w:val="18"/>
      <w:szCs w:val="18"/>
    </w:rPr>
  </w:style>
  <w:style w:type="paragraph" w:styleId="13">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autoRedefine/>
    <w:qFormat/>
    <w:uiPriority w:val="0"/>
    <w:pPr>
      <w:spacing w:line="500" w:lineRule="atLeast"/>
      <w:jc w:val="center"/>
    </w:pPr>
    <w:rPr>
      <w:rFonts w:hint="eastAsia" w:ascii="仿宋_GB2312" w:hAnsi="Times New Roman" w:eastAsia="仿宋_GB2312" w:cs="Times New Roman"/>
      <w:sz w:val="28"/>
    </w:rPr>
  </w:style>
  <w:style w:type="paragraph" w:styleId="15">
    <w:name w:val="Body Text 2"/>
    <w:basedOn w:val="1"/>
    <w:autoRedefine/>
    <w:qFormat/>
    <w:uiPriority w:val="0"/>
    <w:pPr>
      <w:spacing w:after="120" w:line="480" w:lineRule="auto"/>
    </w:pPr>
    <w:rPr>
      <w:rFonts w:ascii="Times New Roman" w:hAnsi="Times New Roman" w:eastAsia="宋体" w:cs="Times New Roman"/>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Title"/>
    <w:basedOn w:val="1"/>
    <w:next w:val="1"/>
    <w:autoRedefine/>
    <w:qFormat/>
    <w:uiPriority w:val="10"/>
    <w:pPr>
      <w:spacing w:before="240" w:after="60"/>
      <w:jc w:val="center"/>
      <w:outlineLvl w:val="0"/>
    </w:pPr>
    <w:rPr>
      <w:rFonts w:ascii="等线 Light" w:hAnsi="等线 Light" w:cs="Times New Roman"/>
      <w:b/>
      <w:bCs/>
      <w:sz w:val="32"/>
      <w:szCs w:val="3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0正文"/>
    <w:next w:val="1"/>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2">
    <w:name w:val="报告正文"/>
    <w:basedOn w:val="1"/>
    <w:autoRedefine/>
    <w:qFormat/>
    <w:uiPriority w:val="0"/>
    <w:pPr>
      <w:adjustRightInd w:val="0"/>
      <w:snapToGrid w:val="0"/>
      <w:spacing w:line="300" w:lineRule="auto"/>
    </w:pPr>
    <w:rPr>
      <w:rFonts w:ascii="宋体"/>
      <w:sz w:val="28"/>
      <w:szCs w:val="20"/>
    </w:rPr>
  </w:style>
  <w:style w:type="paragraph" w:customStyle="1" w:styleId="23">
    <w:name w:val="表格文字"/>
    <w:basedOn w:val="1"/>
    <w:autoRedefine/>
    <w:qFormat/>
    <w:uiPriority w:val="0"/>
    <w:pPr>
      <w:jc w:val="center"/>
    </w:pPr>
    <w:rPr>
      <w:rFonts w:ascii="宋体" w:hAnsi="Arial Black"/>
      <w:kern w:val="44"/>
      <w:sz w:val="24"/>
      <w:szCs w:val="20"/>
    </w:rPr>
  </w:style>
  <w:style w:type="paragraph" w:customStyle="1" w:styleId="24">
    <w:name w:val="p0"/>
    <w:basedOn w:val="1"/>
    <w:autoRedefine/>
    <w:qFormat/>
    <w:uiPriority w:val="0"/>
    <w:pPr>
      <w:widowControl/>
    </w:pPr>
    <w:rPr>
      <w:rFonts w:ascii="Times New Roman" w:hAnsi="Times New Roman" w:eastAsia="宋体" w:cs="Times New Roman"/>
      <w:kern w:val="0"/>
      <w:szCs w:val="21"/>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段落1"/>
    <w:basedOn w:val="1"/>
    <w:autoRedefine/>
    <w:qFormat/>
    <w:uiPriority w:val="0"/>
    <w:pPr>
      <w:spacing w:line="480" w:lineRule="exact"/>
      <w:ind w:firstLine="200" w:firstLineChars="200"/>
    </w:pPr>
    <w:rPr>
      <w:rFonts w:ascii="Calibri" w:hAnsi="Calibri" w:eastAsia="宋体" w:cs="Times New Roman"/>
      <w:sz w:val="28"/>
    </w:rPr>
  </w:style>
  <w:style w:type="paragraph" w:customStyle="1" w:styleId="27">
    <w:name w:val="样式 正文缩进正文缩进2正文缩进 Char Char正文缩进 Char Char Char Char正文缩进 Char ..."/>
    <w:basedOn w:val="6"/>
    <w:autoRedefine/>
    <w:qFormat/>
    <w:uiPriority w:val="0"/>
    <w:pPr>
      <w:ind w:firstLine="200"/>
      <w:outlineLvl w:val="2"/>
    </w:pPr>
    <w:rPr>
      <w:rFonts w:ascii="宋体" w:hAnsi="宋体" w:cs="宋体"/>
      <w:sz w:val="28"/>
    </w:rPr>
  </w:style>
  <w:style w:type="character" w:customStyle="1" w:styleId="28">
    <w:name w:val="页眉 Char"/>
    <w:basedOn w:val="20"/>
    <w:link w:val="13"/>
    <w:autoRedefine/>
    <w:qFormat/>
    <w:uiPriority w:val="0"/>
    <w:rPr>
      <w:rFonts w:asciiTheme="minorHAnsi" w:hAnsiTheme="minorHAnsi" w:eastAsiaTheme="minorEastAsia" w:cstheme="minorBidi"/>
      <w:kern w:val="2"/>
      <w:sz w:val="18"/>
      <w:szCs w:val="18"/>
    </w:rPr>
  </w:style>
  <w:style w:type="character" w:customStyle="1" w:styleId="29">
    <w:name w:val="页脚 Char"/>
    <w:basedOn w:val="20"/>
    <w:link w:val="1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0946-AE72-412F-B2B5-5B1E0E57F304}">
  <ds:schemaRefs/>
</ds:datastoreItem>
</file>

<file path=docProps/app.xml><?xml version="1.0" encoding="utf-8"?>
<Properties xmlns="http://schemas.openxmlformats.org/officeDocument/2006/extended-properties" xmlns:vt="http://schemas.openxmlformats.org/officeDocument/2006/docPropsVTypes">
  <Template>Normal</Template>
  <Pages>3</Pages>
  <Words>176</Words>
  <Characters>1008</Characters>
  <Lines>8</Lines>
  <Paragraphs>2</Paragraphs>
  <TotalTime>1</TotalTime>
  <ScaleCrop>false</ScaleCrop>
  <LinksUpToDate>false</LinksUpToDate>
  <CharactersWithSpaces>1182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2022-05-09T00:58:00Z</dcterms:created>
  <dc:creator>落落大方</dc:creator>
  <cp:lastModifiedBy>拐角遇到爱</cp:lastModifiedBy>
  <dcterms:modified xsi:type="dcterms:W3CDTF">2024-05-10T08:01:13Z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5A3803C760B349A6ABF368AC62729726_13</vt:lpwstr>
  </property>
</Properties>
</file>